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4603" w14:textId="575DEF61" w:rsidR="007C03CF" w:rsidRPr="001554BE" w:rsidRDefault="00A92BF3" w:rsidP="0089383D">
      <w:pPr>
        <w:pStyle w:val="Bezproreda"/>
      </w:pPr>
      <w:r w:rsidRPr="001554BE">
        <w:t>Na temelju članka 52.stavka</w:t>
      </w:r>
      <w:r w:rsidR="009D5481" w:rsidRPr="001554BE">
        <w:t xml:space="preserve"> </w:t>
      </w:r>
      <w:r w:rsidRPr="001554BE">
        <w:t>1.</w:t>
      </w:r>
      <w:r w:rsidR="002A2B28" w:rsidRPr="001554BE">
        <w:t>,</w:t>
      </w:r>
      <w:r w:rsidRPr="001554BE">
        <w:t xml:space="preserve"> članka 56. Zakona o financiranju vodnog gospodarstva /Narodne novine 153/09,90/11,56</w:t>
      </w:r>
      <w:r w:rsidR="00AE4B9A" w:rsidRPr="001554BE">
        <w:t>/</w:t>
      </w:r>
      <w:r w:rsidRPr="001554BE">
        <w:t>13,154/14, 119</w:t>
      </w:r>
      <w:r w:rsidR="00AE4B9A" w:rsidRPr="001554BE">
        <w:t>/</w:t>
      </w:r>
      <w:r w:rsidRPr="001554BE">
        <w:t>15,120/16,127/17 i 66/19</w:t>
      </w:r>
      <w:r w:rsidR="005C488A" w:rsidRPr="001554BE">
        <w:t>,36/24)</w:t>
      </w:r>
      <w:r w:rsidRPr="001554BE">
        <w:t xml:space="preserve"> </w:t>
      </w:r>
      <w:r w:rsidR="002A2B28" w:rsidRPr="001554BE">
        <w:t>,</w:t>
      </w:r>
      <w:r w:rsidR="007C03CF" w:rsidRPr="001554BE">
        <w:t xml:space="preserve">  </w:t>
      </w:r>
      <w:r w:rsidR="009B1194" w:rsidRPr="001554BE">
        <w:t xml:space="preserve">članka 23. </w:t>
      </w:r>
      <w:r w:rsidR="005C488A" w:rsidRPr="001554BE">
        <w:t>stavak 1.</w:t>
      </w:r>
      <w:r w:rsidR="0022716E">
        <w:t>točka 4.</w:t>
      </w:r>
      <w:r w:rsidR="005C488A" w:rsidRPr="001554BE">
        <w:t xml:space="preserve"> </w:t>
      </w:r>
      <w:r w:rsidR="00C906B7" w:rsidRPr="001554BE">
        <w:t>i članka 24. stav</w:t>
      </w:r>
      <w:r w:rsidR="0022716E">
        <w:t>ak</w:t>
      </w:r>
      <w:r w:rsidR="00C906B7" w:rsidRPr="001554BE">
        <w:t xml:space="preserve"> 2. </w:t>
      </w:r>
      <w:r w:rsidR="009B1194" w:rsidRPr="001554BE">
        <w:t xml:space="preserve">Zakona o vodnim uslugama (NN 66/19) , </w:t>
      </w:r>
      <w:r w:rsidR="002A2B28" w:rsidRPr="001554BE">
        <w:t>članka 1</w:t>
      </w:r>
      <w:r w:rsidR="005C488A" w:rsidRPr="001554BE">
        <w:t>6</w:t>
      </w:r>
      <w:r w:rsidR="002A2B28" w:rsidRPr="001554BE">
        <w:t xml:space="preserve">. </w:t>
      </w:r>
      <w:r w:rsidRPr="001554BE">
        <w:t xml:space="preserve">Društvenog ugovora, </w:t>
      </w:r>
      <w:r w:rsidR="007C03CF" w:rsidRPr="001554BE">
        <w:t>Skupština</w:t>
      </w:r>
      <w:r w:rsidR="00493F71" w:rsidRPr="001554BE">
        <w:t xml:space="preserve"> Vode Banovine d.o.o.</w:t>
      </w:r>
      <w:r w:rsidR="007C03CF" w:rsidRPr="001554BE">
        <w:t xml:space="preserve">  </w:t>
      </w:r>
      <w:r w:rsidRPr="001554BE">
        <w:t xml:space="preserve">na sjednici održanoj dana </w:t>
      </w:r>
      <w:r w:rsidR="00AD7639" w:rsidRPr="001554BE">
        <w:t xml:space="preserve"> </w:t>
      </w:r>
      <w:r w:rsidR="00545CCD" w:rsidRPr="001554BE">
        <w:t xml:space="preserve"> </w:t>
      </w:r>
      <w:r w:rsidR="009D5481" w:rsidRPr="001554BE">
        <w:t>___________</w:t>
      </w:r>
      <w:r w:rsidRPr="001554BE">
        <w:t xml:space="preserve"> godine </w:t>
      </w:r>
      <w:r w:rsidR="007C03CF" w:rsidRPr="001554BE">
        <w:t>donosi</w:t>
      </w:r>
    </w:p>
    <w:p w14:paraId="573C7DFB" w14:textId="3C27B82B" w:rsidR="007C03CF" w:rsidRPr="001554BE" w:rsidRDefault="007C03CF" w:rsidP="001554BE">
      <w:pPr>
        <w:spacing w:after="0"/>
        <w:jc w:val="center"/>
        <w:rPr>
          <w:rFonts w:cstheme="minorHAnsi"/>
          <w:b/>
          <w:bCs/>
        </w:rPr>
      </w:pPr>
      <w:r w:rsidRPr="001554BE">
        <w:rPr>
          <w:rFonts w:cstheme="minorHAnsi"/>
          <w:b/>
          <w:bCs/>
        </w:rPr>
        <w:t>O D L U K U</w:t>
      </w:r>
    </w:p>
    <w:p w14:paraId="1CAC411D" w14:textId="70FB6459" w:rsidR="007C03CF" w:rsidRPr="001554BE" w:rsidRDefault="007C03CF" w:rsidP="001554BE">
      <w:pPr>
        <w:spacing w:after="0"/>
        <w:jc w:val="center"/>
        <w:rPr>
          <w:rFonts w:cstheme="minorHAnsi"/>
          <w:b/>
          <w:bCs/>
        </w:rPr>
      </w:pPr>
      <w:r w:rsidRPr="001554BE">
        <w:rPr>
          <w:rFonts w:cstheme="minorHAnsi"/>
          <w:b/>
          <w:bCs/>
        </w:rPr>
        <w:t xml:space="preserve">O NAKNADI ZA RAZVOJ KOMUNALNIH VODNIH GRAĐEVINA NA </w:t>
      </w:r>
      <w:r w:rsidR="009D5481" w:rsidRPr="001554BE">
        <w:rPr>
          <w:rFonts w:cstheme="minorHAnsi"/>
          <w:b/>
          <w:bCs/>
        </w:rPr>
        <w:t>USLUŽNOM PODRUČJU 15</w:t>
      </w:r>
    </w:p>
    <w:p w14:paraId="5B14F902" w14:textId="77777777" w:rsidR="001554BE" w:rsidRPr="001554BE" w:rsidRDefault="001554BE" w:rsidP="007C03CF">
      <w:pPr>
        <w:jc w:val="center"/>
        <w:rPr>
          <w:rFonts w:cstheme="minorHAnsi"/>
        </w:rPr>
      </w:pPr>
    </w:p>
    <w:p w14:paraId="289E4E9B" w14:textId="0B230F77" w:rsidR="007C03CF" w:rsidRPr="001554BE" w:rsidRDefault="007C03CF" w:rsidP="007C03CF">
      <w:pPr>
        <w:jc w:val="center"/>
        <w:rPr>
          <w:rFonts w:cstheme="minorHAnsi"/>
        </w:rPr>
      </w:pPr>
      <w:r w:rsidRPr="001554BE">
        <w:rPr>
          <w:rFonts w:cstheme="minorHAnsi"/>
        </w:rPr>
        <w:t>Članak 1.</w:t>
      </w:r>
    </w:p>
    <w:p w14:paraId="51424B99" w14:textId="5FE80055" w:rsidR="00ED4966" w:rsidRPr="001554BE" w:rsidRDefault="007C03CF" w:rsidP="00ED4966">
      <w:pPr>
        <w:pStyle w:val="t-9-8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54BE">
        <w:rPr>
          <w:rFonts w:asciiTheme="minorHAnsi" w:hAnsiTheme="minorHAnsi" w:cstheme="minorHAnsi"/>
          <w:sz w:val="22"/>
          <w:szCs w:val="22"/>
        </w:rPr>
        <w:t>Odlukom o naknadi za razvoj komunalnih vodnih građevina (u daljnjem tekstu Odluka</w:t>
      </w:r>
      <w:r w:rsidR="00070979" w:rsidRPr="001554BE">
        <w:rPr>
          <w:rFonts w:asciiTheme="minorHAnsi" w:hAnsiTheme="minorHAnsi" w:cstheme="minorHAnsi"/>
          <w:sz w:val="22"/>
          <w:szCs w:val="22"/>
        </w:rPr>
        <w:t xml:space="preserve">) određuje se plaćanje naknade za razvoj komunalnih vodnih građevina na području isporučitelja vodnih usluga </w:t>
      </w:r>
      <w:r w:rsidR="005722A6" w:rsidRPr="001554BE">
        <w:rPr>
          <w:rFonts w:asciiTheme="minorHAnsi" w:hAnsiTheme="minorHAnsi" w:cstheme="minorHAnsi"/>
          <w:sz w:val="22"/>
          <w:szCs w:val="22"/>
        </w:rPr>
        <w:t>Vode Banovine</w:t>
      </w:r>
      <w:r w:rsidR="00070979" w:rsidRPr="001554BE">
        <w:rPr>
          <w:rFonts w:asciiTheme="minorHAnsi" w:hAnsiTheme="minorHAnsi" w:cstheme="minorHAnsi"/>
          <w:sz w:val="22"/>
          <w:szCs w:val="22"/>
        </w:rPr>
        <w:t xml:space="preserve"> d.o.o. Petrinja, Braće </w:t>
      </w:r>
      <w:proofErr w:type="spellStart"/>
      <w:r w:rsidR="00070979" w:rsidRPr="001554BE">
        <w:rPr>
          <w:rFonts w:asciiTheme="minorHAnsi" w:hAnsiTheme="minorHAnsi" w:cstheme="minorHAnsi"/>
          <w:sz w:val="22"/>
          <w:szCs w:val="22"/>
        </w:rPr>
        <w:t>Hanžek</w:t>
      </w:r>
      <w:proofErr w:type="spellEnd"/>
      <w:r w:rsidR="00070979" w:rsidRPr="001554BE">
        <w:rPr>
          <w:rFonts w:asciiTheme="minorHAnsi" w:hAnsiTheme="minorHAnsi" w:cstheme="minorHAnsi"/>
          <w:sz w:val="22"/>
          <w:szCs w:val="22"/>
        </w:rPr>
        <w:t xml:space="preserve"> 19, Petrinja </w:t>
      </w:r>
      <w:r w:rsidR="00ED4966" w:rsidRPr="001554BE">
        <w:rPr>
          <w:rFonts w:asciiTheme="minorHAnsi" w:hAnsiTheme="minorHAnsi" w:cstheme="minorHAnsi"/>
          <w:sz w:val="22"/>
          <w:szCs w:val="22"/>
        </w:rPr>
        <w:t xml:space="preserve">na uslužnom području 15 </w:t>
      </w:r>
      <w:r w:rsidR="00ED4966" w:rsidRPr="001554BE">
        <w:rPr>
          <w:rFonts w:asciiTheme="minorHAnsi" w:hAnsiTheme="minorHAnsi" w:cstheme="minorHAnsi"/>
          <w:color w:val="000000"/>
          <w:sz w:val="22"/>
          <w:szCs w:val="22"/>
        </w:rPr>
        <w:t>koji obuhvaća gradove Petrinja, Glina, Hrvatska Kostajnica te općine Donji Kukuruzari, Dvor, Gvozd, Lekenik, Majur i Topusko u Sisačko-moslavačkoj županiji,</w:t>
      </w:r>
    </w:p>
    <w:p w14:paraId="56AD0AB6" w14:textId="775B0871" w:rsidR="007C03CF" w:rsidRPr="001554BE" w:rsidRDefault="00ED4966" w:rsidP="002B7AC0">
      <w:pPr>
        <w:rPr>
          <w:rFonts w:cstheme="minorHAnsi"/>
        </w:rPr>
      </w:pPr>
      <w:r w:rsidRPr="001554BE">
        <w:rPr>
          <w:rFonts w:cstheme="minorHAnsi"/>
        </w:rPr>
        <w:t xml:space="preserve"> </w:t>
      </w:r>
      <w:r w:rsidR="00070979" w:rsidRPr="001554BE">
        <w:rPr>
          <w:rFonts w:cstheme="minorHAnsi"/>
        </w:rPr>
        <w:t>te se istom određuje:</w:t>
      </w:r>
      <w:r w:rsidR="007C03CF" w:rsidRPr="001554BE">
        <w:rPr>
          <w:rFonts w:cstheme="minorHAnsi"/>
        </w:rPr>
        <w:t xml:space="preserve"> </w:t>
      </w:r>
    </w:p>
    <w:p w14:paraId="423B66B0" w14:textId="4F555FA9" w:rsidR="002B7AC0" w:rsidRPr="001554BE" w:rsidRDefault="002B7AC0" w:rsidP="002B7AC0">
      <w:pPr>
        <w:pStyle w:val="Odlomakpopisa"/>
        <w:numPr>
          <w:ilvl w:val="0"/>
          <w:numId w:val="1"/>
        </w:numPr>
        <w:rPr>
          <w:rFonts w:cstheme="minorHAnsi"/>
        </w:rPr>
      </w:pPr>
      <w:r w:rsidRPr="001554BE">
        <w:rPr>
          <w:rFonts w:cstheme="minorHAnsi"/>
        </w:rPr>
        <w:t>Obveznici plaćanja naknade za razvoj</w:t>
      </w:r>
    </w:p>
    <w:p w14:paraId="1943A898" w14:textId="4957120E" w:rsidR="002B7AC0" w:rsidRPr="001554BE" w:rsidRDefault="002B7AC0" w:rsidP="002B7AC0">
      <w:pPr>
        <w:pStyle w:val="Odlomakpopisa"/>
        <w:numPr>
          <w:ilvl w:val="0"/>
          <w:numId w:val="1"/>
        </w:numPr>
        <w:rPr>
          <w:rFonts w:cstheme="minorHAnsi"/>
        </w:rPr>
      </w:pPr>
      <w:r w:rsidRPr="001554BE">
        <w:rPr>
          <w:rFonts w:cstheme="minorHAnsi"/>
        </w:rPr>
        <w:t>Osnovica plaćanja naknade</w:t>
      </w:r>
    </w:p>
    <w:p w14:paraId="2C5C8B63" w14:textId="6E70CF44" w:rsidR="002B7AC0" w:rsidRPr="001554BE" w:rsidRDefault="002B7AC0" w:rsidP="002B7AC0">
      <w:pPr>
        <w:pStyle w:val="Odlomakpopisa"/>
        <w:numPr>
          <w:ilvl w:val="0"/>
          <w:numId w:val="1"/>
        </w:numPr>
        <w:rPr>
          <w:rFonts w:cstheme="minorHAnsi"/>
        </w:rPr>
      </w:pPr>
      <w:r w:rsidRPr="001554BE">
        <w:rPr>
          <w:rFonts w:cstheme="minorHAnsi"/>
        </w:rPr>
        <w:t>Namjena sredstava prikupljanjem od naknade za razvoj,</w:t>
      </w:r>
    </w:p>
    <w:p w14:paraId="78CC5E0F" w14:textId="1890A23B" w:rsidR="002B7AC0" w:rsidRPr="001554BE" w:rsidRDefault="002B7AC0" w:rsidP="002B7AC0">
      <w:pPr>
        <w:pStyle w:val="Odlomakpopisa"/>
        <w:numPr>
          <w:ilvl w:val="0"/>
          <w:numId w:val="1"/>
        </w:numPr>
        <w:rPr>
          <w:rFonts w:cstheme="minorHAnsi"/>
        </w:rPr>
      </w:pPr>
      <w:r w:rsidRPr="001554BE">
        <w:rPr>
          <w:rFonts w:cstheme="minorHAnsi"/>
        </w:rPr>
        <w:t>Visina naknade,</w:t>
      </w:r>
    </w:p>
    <w:p w14:paraId="7FAC74DE" w14:textId="353332EF" w:rsidR="002B7AC0" w:rsidRPr="001554BE" w:rsidRDefault="002B7AC0" w:rsidP="002B7AC0">
      <w:pPr>
        <w:pStyle w:val="Odlomakpopisa"/>
        <w:numPr>
          <w:ilvl w:val="0"/>
          <w:numId w:val="1"/>
        </w:numPr>
        <w:rPr>
          <w:rFonts w:cstheme="minorHAnsi"/>
        </w:rPr>
      </w:pPr>
      <w:r w:rsidRPr="001554BE">
        <w:rPr>
          <w:rFonts w:cstheme="minorHAnsi"/>
        </w:rPr>
        <w:t>Visina i rokovi plaćanja naknade za razvoj,</w:t>
      </w:r>
    </w:p>
    <w:p w14:paraId="18A38F37" w14:textId="77777777" w:rsidR="002B7AC0" w:rsidRPr="001554BE" w:rsidRDefault="002B7AC0" w:rsidP="002B7AC0">
      <w:pPr>
        <w:pStyle w:val="Odlomakpopisa"/>
        <w:numPr>
          <w:ilvl w:val="0"/>
          <w:numId w:val="1"/>
        </w:numPr>
        <w:rPr>
          <w:rFonts w:cstheme="minorHAnsi"/>
        </w:rPr>
      </w:pPr>
      <w:r w:rsidRPr="001554BE">
        <w:rPr>
          <w:rFonts w:cstheme="minorHAnsi"/>
        </w:rPr>
        <w:t>Nadzor nad obračunom i naplatom naknade za razvoj.</w:t>
      </w:r>
    </w:p>
    <w:p w14:paraId="681E8875" w14:textId="3D4C3E65" w:rsidR="002B7AC0" w:rsidRPr="001554BE" w:rsidRDefault="002B7AC0" w:rsidP="002B7AC0">
      <w:pPr>
        <w:jc w:val="center"/>
        <w:rPr>
          <w:rFonts w:cstheme="minorHAnsi"/>
        </w:rPr>
      </w:pPr>
      <w:r w:rsidRPr="001554BE">
        <w:rPr>
          <w:rFonts w:cstheme="minorHAnsi"/>
        </w:rPr>
        <w:t>Članak 2.</w:t>
      </w:r>
    </w:p>
    <w:p w14:paraId="08F6F876" w14:textId="49B53E18" w:rsidR="00ED4966" w:rsidRPr="001554BE" w:rsidRDefault="002B7AC0" w:rsidP="001554BE">
      <w:pPr>
        <w:pStyle w:val="t-9-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54BE">
        <w:rPr>
          <w:rFonts w:asciiTheme="minorHAnsi" w:hAnsiTheme="minorHAnsi" w:cstheme="minorHAnsi"/>
          <w:sz w:val="22"/>
          <w:szCs w:val="22"/>
        </w:rPr>
        <w:t xml:space="preserve">Obračun i plaćanje </w:t>
      </w:r>
      <w:r w:rsidR="005722A6" w:rsidRPr="001554BE">
        <w:rPr>
          <w:rFonts w:asciiTheme="minorHAnsi" w:hAnsiTheme="minorHAnsi" w:cstheme="minorHAnsi"/>
          <w:sz w:val="22"/>
          <w:szCs w:val="22"/>
        </w:rPr>
        <w:t xml:space="preserve">naknade </w:t>
      </w:r>
      <w:r w:rsidRPr="001554BE">
        <w:rPr>
          <w:rFonts w:asciiTheme="minorHAnsi" w:hAnsiTheme="minorHAnsi" w:cstheme="minorHAnsi"/>
          <w:sz w:val="22"/>
          <w:szCs w:val="22"/>
        </w:rPr>
        <w:t xml:space="preserve">za razvoj u interesu je jedinice lokalne samouprave na vodoopskrbnom području iz nadležnosti Isporučitelja. </w:t>
      </w:r>
    </w:p>
    <w:p w14:paraId="296F7667" w14:textId="24270BA8" w:rsidR="002B7AC0" w:rsidRPr="001554BE" w:rsidRDefault="002B7AC0" w:rsidP="001554BE">
      <w:pPr>
        <w:pStyle w:val="t-9-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54BE">
        <w:rPr>
          <w:rFonts w:asciiTheme="minorHAnsi" w:hAnsiTheme="minorHAnsi" w:cstheme="minorHAnsi"/>
          <w:sz w:val="22"/>
          <w:szCs w:val="22"/>
        </w:rPr>
        <w:t xml:space="preserve">Naknada za razvoj je prihod Isporučitelja vodnih usluga. </w:t>
      </w:r>
    </w:p>
    <w:p w14:paraId="437051F4" w14:textId="746832C1" w:rsidR="002B7AC0" w:rsidRPr="001554BE" w:rsidRDefault="002B7AC0" w:rsidP="002B7AC0">
      <w:pPr>
        <w:jc w:val="center"/>
        <w:rPr>
          <w:rFonts w:cstheme="minorHAnsi"/>
        </w:rPr>
      </w:pPr>
      <w:r w:rsidRPr="001554BE">
        <w:rPr>
          <w:rFonts w:cstheme="minorHAnsi"/>
        </w:rPr>
        <w:t>Članak 3.</w:t>
      </w:r>
    </w:p>
    <w:p w14:paraId="5C6FFE7D" w14:textId="427876DD" w:rsidR="002B7AC0" w:rsidRPr="001554BE" w:rsidRDefault="002B7AC0" w:rsidP="00795C24">
      <w:pPr>
        <w:jc w:val="both"/>
        <w:rPr>
          <w:rFonts w:cstheme="minorHAnsi"/>
        </w:rPr>
      </w:pPr>
      <w:r w:rsidRPr="001554BE">
        <w:rPr>
          <w:rFonts w:cstheme="minorHAnsi"/>
        </w:rPr>
        <w:t>Obveznik plaćanja naknade</w:t>
      </w:r>
      <w:r w:rsidR="00525802" w:rsidRPr="001554BE">
        <w:rPr>
          <w:rFonts w:cstheme="minorHAnsi"/>
        </w:rPr>
        <w:t xml:space="preserve"> </w:t>
      </w:r>
      <w:r w:rsidRPr="001554BE">
        <w:rPr>
          <w:rFonts w:cstheme="minorHAnsi"/>
        </w:rPr>
        <w:t>za razvoj je svaki o</w:t>
      </w:r>
      <w:r w:rsidR="00525802" w:rsidRPr="001554BE">
        <w:rPr>
          <w:rFonts w:cstheme="minorHAnsi"/>
        </w:rPr>
        <w:t>b</w:t>
      </w:r>
      <w:r w:rsidRPr="001554BE">
        <w:rPr>
          <w:rFonts w:cstheme="minorHAnsi"/>
        </w:rPr>
        <w:t>veznik plaćanja cijene vodne</w:t>
      </w:r>
      <w:r w:rsidR="00525802" w:rsidRPr="001554BE">
        <w:rPr>
          <w:rFonts w:cstheme="minorHAnsi"/>
        </w:rPr>
        <w:t xml:space="preserve"> usluge na </w:t>
      </w:r>
      <w:r w:rsidR="00ED4966" w:rsidRPr="001554BE">
        <w:rPr>
          <w:rFonts w:cstheme="minorHAnsi"/>
        </w:rPr>
        <w:t>uslužnom području 15.</w:t>
      </w:r>
      <w:r w:rsidR="00525802" w:rsidRPr="001554BE">
        <w:rPr>
          <w:rFonts w:cstheme="minorHAnsi"/>
        </w:rPr>
        <w:t xml:space="preserve"> </w:t>
      </w:r>
    </w:p>
    <w:p w14:paraId="1CF8A829" w14:textId="78761208" w:rsidR="00525802" w:rsidRPr="001554BE" w:rsidRDefault="00525802" w:rsidP="00534B97">
      <w:pPr>
        <w:jc w:val="center"/>
        <w:rPr>
          <w:rFonts w:cstheme="minorHAnsi"/>
        </w:rPr>
      </w:pPr>
      <w:r w:rsidRPr="001554BE">
        <w:rPr>
          <w:rFonts w:cstheme="minorHAnsi"/>
        </w:rPr>
        <w:t>Članak 4.</w:t>
      </w:r>
    </w:p>
    <w:p w14:paraId="649EA774" w14:textId="693D19ED" w:rsidR="00525802" w:rsidRDefault="00525802" w:rsidP="002B7AC0">
      <w:pPr>
        <w:rPr>
          <w:rFonts w:cstheme="minorHAnsi"/>
        </w:rPr>
      </w:pPr>
      <w:r w:rsidRPr="001554BE">
        <w:rPr>
          <w:rFonts w:cstheme="minorHAnsi"/>
        </w:rPr>
        <w:t xml:space="preserve">Osnovica za obračun naknade za razvoj je jedinica mjere isporučene na glavnom vodomjeru očitane vodne usluge, odnosno jedan kubni metar isporučene vode. </w:t>
      </w:r>
    </w:p>
    <w:p w14:paraId="29C0F251" w14:textId="46E983F5" w:rsidR="00731774" w:rsidRPr="001554BE" w:rsidRDefault="00731774" w:rsidP="004B528D">
      <w:pPr>
        <w:jc w:val="center"/>
        <w:rPr>
          <w:rFonts w:cstheme="minorHAnsi"/>
        </w:rPr>
      </w:pPr>
      <w:r w:rsidRPr="001554BE">
        <w:rPr>
          <w:rFonts w:cstheme="minorHAnsi"/>
        </w:rPr>
        <w:t xml:space="preserve">Članak </w:t>
      </w:r>
      <w:r>
        <w:rPr>
          <w:rFonts w:cstheme="minorHAnsi"/>
        </w:rPr>
        <w:t>5</w:t>
      </w:r>
      <w:r w:rsidRPr="001554BE">
        <w:rPr>
          <w:rFonts w:cstheme="minorHAnsi"/>
        </w:rPr>
        <w:t>.</w:t>
      </w:r>
    </w:p>
    <w:p w14:paraId="00B928C9" w14:textId="644EE717" w:rsidR="00731774" w:rsidRPr="00731774" w:rsidRDefault="00731774" w:rsidP="00795C24">
      <w:pPr>
        <w:pStyle w:val="Bezproreda"/>
        <w:jc w:val="both"/>
      </w:pPr>
      <w:r w:rsidRPr="00731774">
        <w:t>Prihodi od naknade za razvoj koriste se za financiranje gradnje komunalnih vodnih građevina na uslužnom području 1</w:t>
      </w:r>
      <w:r>
        <w:t>5</w:t>
      </w:r>
      <w:r w:rsidRPr="00731774">
        <w:t>, sukladno Planu gradnje komunalnih vodnih građevina koji je sastavni dio Poslovnog plana za razdoblje od 202</w:t>
      </w:r>
      <w:r>
        <w:t>3</w:t>
      </w:r>
      <w:r w:rsidRPr="00731774">
        <w:t>. do 202</w:t>
      </w:r>
      <w:r>
        <w:t>6</w:t>
      </w:r>
      <w:r w:rsidRPr="00731774">
        <w:t>. godine i koji je objavljen na internetskoj stranici javnog isporučitelja vodnih usluga.</w:t>
      </w:r>
    </w:p>
    <w:p w14:paraId="5A5E4DFB" w14:textId="77777777" w:rsidR="00731774" w:rsidRPr="00731774" w:rsidRDefault="00731774" w:rsidP="00795C24">
      <w:pPr>
        <w:pStyle w:val="Bezproreda"/>
        <w:jc w:val="both"/>
      </w:pPr>
      <w:r w:rsidRPr="00731774">
        <w:t xml:space="preserve">Pod izdacima gradnje komunalnih vodnih građevina podrazumijevaju se svi izdaci koji su nužni da se pripremi, provede i pusti u uporabu projekt gradnje komunalnih vodnih građevina (CAPEX) što uključuje, ali nije ograničeno na: izradu </w:t>
      </w:r>
      <w:proofErr w:type="spellStart"/>
      <w:r w:rsidRPr="00731774">
        <w:t>predstudije</w:t>
      </w:r>
      <w:proofErr w:type="spellEnd"/>
      <w:r w:rsidRPr="00731774">
        <w:t xml:space="preserve"> i studije izvodljivosti projekta, provedbe procjene utjecaja na okoliš i prirodu, prethodna istraživanja, izradu idejnog, glavnog i izvedbenog projekta i drugih poslova projektiranja, ishođenja posebnih uvjeta za provedbu zahvata u prostoru prema </w:t>
      </w:r>
      <w:r w:rsidRPr="00731774">
        <w:lastRenderedPageBreak/>
        <w:t>posebnim propisima, ishođenje potrebnih dozvola (lokacijske, građevinske, uporabne i dr.) i drugih upravnih i neupravnih akta, provedbu postupaka javnih nabava, provedbu postupaka otkupa i izvlaštenja nekretnina te troškova rješavanja imovinsko-pravnih odnosa, provedbu geodetskih poslova, građenja, uključujući i rekonstrukcije, nadzor nad građenjem, upravljanje projektom gradnje, ispitivanje kvalitete izgrađenih vodnih građevina ili određenih njihovih dijelova, troškove testiranja i probnog pogona te troškove pravnih postupaka u vezi s prethodnim poslovima.</w:t>
      </w:r>
    </w:p>
    <w:p w14:paraId="6EE28168" w14:textId="77777777" w:rsidR="00731774" w:rsidRPr="00731774" w:rsidRDefault="00731774" w:rsidP="00795C24">
      <w:pPr>
        <w:pStyle w:val="Bezproreda"/>
        <w:jc w:val="both"/>
      </w:pPr>
      <w:r w:rsidRPr="00731774">
        <w:t>Sredstva naknade za razvoj koriste se i za financiranje otplate zajmova i kredita za gradnju komunalnih vodnih građevina sukladno financijskom planu javnog isporučitelja vodnih usluga, te ostala ulaganja u izgradnju komunalnih vodnih građevina.</w:t>
      </w:r>
    </w:p>
    <w:p w14:paraId="43040D87" w14:textId="77777777" w:rsidR="00731774" w:rsidRDefault="00731774" w:rsidP="00795C24">
      <w:pPr>
        <w:jc w:val="both"/>
        <w:rPr>
          <w:rFonts w:cstheme="minorHAnsi"/>
        </w:rPr>
      </w:pPr>
    </w:p>
    <w:p w14:paraId="47521545" w14:textId="0173655B" w:rsidR="00447F59" w:rsidRPr="001554BE" w:rsidRDefault="00447F59" w:rsidP="00FA0005">
      <w:pPr>
        <w:jc w:val="center"/>
        <w:rPr>
          <w:rFonts w:cstheme="minorHAnsi"/>
        </w:rPr>
      </w:pPr>
      <w:r w:rsidRPr="001554BE">
        <w:rPr>
          <w:rFonts w:cstheme="minorHAnsi"/>
        </w:rPr>
        <w:t>Članak 6.</w:t>
      </w:r>
    </w:p>
    <w:p w14:paraId="4E30DBC3" w14:textId="13AD7BCF" w:rsidR="00731774" w:rsidRDefault="00731774" w:rsidP="00795C24">
      <w:pPr>
        <w:pStyle w:val="Bezproreda"/>
        <w:jc w:val="both"/>
      </w:pPr>
      <w:r w:rsidRPr="00731774">
        <w:t>Neutrošena sredstva naknade za razvoj prikupljena do stupanja na snagu ove Odluke koriste se u</w:t>
      </w:r>
      <w:r>
        <w:t xml:space="preserve"> </w:t>
      </w:r>
      <w:r w:rsidRPr="00731774">
        <w:t>skladu s člankom 5. ove Odluke.</w:t>
      </w:r>
    </w:p>
    <w:p w14:paraId="28389429" w14:textId="77777777" w:rsidR="004B528D" w:rsidRDefault="004B528D" w:rsidP="00FA0005">
      <w:pPr>
        <w:jc w:val="center"/>
        <w:rPr>
          <w:rFonts w:cstheme="minorHAnsi"/>
        </w:rPr>
      </w:pPr>
    </w:p>
    <w:p w14:paraId="785CAF7E" w14:textId="07782BE5" w:rsidR="00FA0005" w:rsidRPr="001554BE" w:rsidRDefault="00FA0005" w:rsidP="00FA0005">
      <w:pPr>
        <w:jc w:val="center"/>
        <w:rPr>
          <w:rFonts w:cstheme="minorHAnsi"/>
        </w:rPr>
      </w:pPr>
      <w:r w:rsidRPr="001554BE">
        <w:rPr>
          <w:rFonts w:cstheme="minorHAnsi"/>
        </w:rPr>
        <w:t xml:space="preserve">Članak </w:t>
      </w:r>
      <w:r w:rsidR="0022716E">
        <w:rPr>
          <w:rFonts w:cstheme="minorHAnsi"/>
        </w:rPr>
        <w:t>7</w:t>
      </w:r>
      <w:r w:rsidRPr="001554BE">
        <w:rPr>
          <w:rFonts w:cstheme="minorHAnsi"/>
        </w:rPr>
        <w:t>.</w:t>
      </w:r>
    </w:p>
    <w:p w14:paraId="7EBC1865" w14:textId="0E5D8033" w:rsidR="00ED4966" w:rsidRPr="001554BE" w:rsidRDefault="00ED4966" w:rsidP="00ED4966">
      <w:pPr>
        <w:rPr>
          <w:rFonts w:cstheme="minorHAnsi"/>
          <w:color w:val="231F20"/>
          <w:shd w:val="clear" w:color="auto" w:fill="FFFFFF"/>
        </w:rPr>
      </w:pPr>
      <w:r w:rsidRPr="001554BE">
        <w:rPr>
          <w:rFonts w:cstheme="minorHAnsi"/>
          <w:color w:val="231F20"/>
          <w:shd w:val="clear" w:color="auto" w:fill="FFFFFF"/>
        </w:rPr>
        <w:t>Naknada za razvoj sastoji se od zajedničkog dijela naknade za razvoj i posebnog dijela naknade za razvoj.</w:t>
      </w:r>
    </w:p>
    <w:p w14:paraId="72121EA4" w14:textId="7126B9AC" w:rsidR="00D56AB6" w:rsidRPr="001554BE" w:rsidRDefault="00D56AB6" w:rsidP="00795C24">
      <w:pPr>
        <w:jc w:val="both"/>
        <w:rPr>
          <w:rFonts w:cstheme="minorHAnsi"/>
          <w:color w:val="231F20"/>
          <w:shd w:val="clear" w:color="auto" w:fill="FFFFFF"/>
        </w:rPr>
      </w:pPr>
      <w:r w:rsidRPr="001554BE">
        <w:rPr>
          <w:rFonts w:cstheme="minorHAnsi"/>
          <w:color w:val="231F20"/>
          <w:shd w:val="clear" w:color="auto" w:fill="FFFFFF"/>
        </w:rPr>
        <w:t>Zajednički dio naknade za razvoj plaćaju svi obveznici naknade za razvoj na cijelom uslužnom području, a prihod od naknade se koristi za dijelove sustava javne vodoopskrbe</w:t>
      </w:r>
      <w:r w:rsidR="0022716E" w:rsidRPr="0022716E">
        <w:rPr>
          <w:rFonts w:cstheme="minorHAnsi"/>
          <w:color w:val="231F20"/>
          <w:shd w:val="clear" w:color="auto" w:fill="FFFFFF"/>
        </w:rPr>
        <w:t xml:space="preserve"> </w:t>
      </w:r>
      <w:r w:rsidR="0022716E" w:rsidRPr="001554BE">
        <w:rPr>
          <w:rFonts w:cstheme="minorHAnsi"/>
          <w:color w:val="231F20"/>
          <w:shd w:val="clear" w:color="auto" w:fill="FFFFFF"/>
        </w:rPr>
        <w:t>i/ili sustava javne odvodnje</w:t>
      </w:r>
      <w:r w:rsidRPr="001554BE">
        <w:rPr>
          <w:rFonts w:cstheme="minorHAnsi"/>
          <w:color w:val="231F20"/>
          <w:shd w:val="clear" w:color="auto" w:fill="FFFFFF"/>
        </w:rPr>
        <w:t xml:space="preserve"> koji služe korisnicima vodnih usluga na cijelom uslužnom području ili njegovu pretežitom dijelu. </w:t>
      </w:r>
    </w:p>
    <w:p w14:paraId="33FAF64E" w14:textId="52CBDE0B" w:rsidR="00D56AB6" w:rsidRPr="001554BE" w:rsidRDefault="00D56AB6" w:rsidP="00ED4966">
      <w:pPr>
        <w:rPr>
          <w:rFonts w:cstheme="minorHAnsi"/>
          <w:color w:val="231F20"/>
          <w:shd w:val="clear" w:color="auto" w:fill="FFFFFF"/>
        </w:rPr>
      </w:pPr>
      <w:r w:rsidRPr="001554BE">
        <w:rPr>
          <w:rFonts w:cstheme="minorHAnsi"/>
          <w:color w:val="231F20"/>
          <w:shd w:val="clear" w:color="auto" w:fill="FFFFFF"/>
        </w:rPr>
        <w:t xml:space="preserve">Zajednički dio naknade za razvoj iznosi 0,28 </w:t>
      </w:r>
      <w:proofErr w:type="spellStart"/>
      <w:r w:rsidRPr="001554BE">
        <w:rPr>
          <w:rFonts w:cstheme="minorHAnsi"/>
          <w:color w:val="231F20"/>
          <w:shd w:val="clear" w:color="auto" w:fill="FFFFFF"/>
        </w:rPr>
        <w:t>eur</w:t>
      </w:r>
      <w:proofErr w:type="spellEnd"/>
      <w:r w:rsidRPr="001554BE">
        <w:rPr>
          <w:rFonts w:cstheme="minorHAnsi"/>
          <w:color w:val="231F20"/>
          <w:shd w:val="clear" w:color="auto" w:fill="FFFFFF"/>
        </w:rPr>
        <w:t>/m³.</w:t>
      </w:r>
    </w:p>
    <w:p w14:paraId="4B9C15CB" w14:textId="6CF14F3B" w:rsidR="00D56AB6" w:rsidRPr="001554BE" w:rsidRDefault="00D56AB6" w:rsidP="00795C24">
      <w:pPr>
        <w:jc w:val="both"/>
        <w:rPr>
          <w:rFonts w:cstheme="minorHAnsi"/>
        </w:rPr>
      </w:pPr>
      <w:r w:rsidRPr="001554BE">
        <w:rPr>
          <w:rFonts w:cstheme="minorHAnsi"/>
          <w:color w:val="231F20"/>
          <w:shd w:val="clear" w:color="auto" w:fill="FFFFFF"/>
        </w:rPr>
        <w:t>Posebni dio naknade za razvoj plaća se na području određene jedinice lokalne samouprave, a prihod od naknade se koristi za razvoj dijelova sustava javne vodoopskrbe i/ili sustava javne odvodnje koji služi isključivo korisnicima vodnih usluga na području te jedinice lokalne samouprave</w:t>
      </w:r>
      <w:r w:rsidR="0022716E">
        <w:rPr>
          <w:rFonts w:cstheme="minorHAnsi"/>
          <w:color w:val="231F20"/>
          <w:shd w:val="clear" w:color="auto" w:fill="FFFFFF"/>
        </w:rPr>
        <w:t xml:space="preserve"> i iznosi kako slijedi:</w:t>
      </w:r>
    </w:p>
    <w:tbl>
      <w:tblPr>
        <w:tblW w:w="9261" w:type="dxa"/>
        <w:tblInd w:w="108" w:type="dxa"/>
        <w:tblLook w:val="04A0" w:firstRow="1" w:lastRow="0" w:firstColumn="1" w:lastColumn="0" w:noHBand="0" w:noVBand="1"/>
      </w:tblPr>
      <w:tblGrid>
        <w:gridCol w:w="1520"/>
        <w:gridCol w:w="2840"/>
        <w:gridCol w:w="2303"/>
        <w:gridCol w:w="2598"/>
      </w:tblGrid>
      <w:tr w:rsidR="00ED4966" w:rsidRPr="001554BE" w14:paraId="18F3D1A7" w14:textId="77777777" w:rsidTr="00520721">
        <w:trPr>
          <w:trHeight w:val="324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FABC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B5AB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jedinica lokalne samouprave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43E1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naknada za razvoj (€/m3)</w:t>
            </w:r>
          </w:p>
        </w:tc>
      </w:tr>
      <w:tr w:rsidR="00ED4966" w:rsidRPr="001554BE" w14:paraId="6FFB3B13" w14:textId="77777777" w:rsidTr="00520721">
        <w:trPr>
          <w:trHeight w:val="28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AF02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DA89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8873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zajednički dio </w:t>
            </w:r>
          </w:p>
          <w:p w14:paraId="72474C9C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(NZR –Z)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FCA7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posebni dio</w:t>
            </w:r>
          </w:p>
          <w:p w14:paraId="6EB34F6F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(NZR-P)</w:t>
            </w:r>
          </w:p>
        </w:tc>
      </w:tr>
      <w:tr w:rsidR="00ED4966" w:rsidRPr="001554BE" w14:paraId="402703F4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3B85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61B48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Grad Petrinja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7B51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83F5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0,20</w:t>
            </w:r>
          </w:p>
        </w:tc>
      </w:tr>
      <w:tr w:rsidR="00ED4966" w:rsidRPr="001554BE" w14:paraId="785747C9" w14:textId="77777777" w:rsidTr="00520721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7917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2.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2BD7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Općina Lekenik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B1B1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C44C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-</w:t>
            </w:r>
          </w:p>
        </w:tc>
      </w:tr>
      <w:tr w:rsidR="00ED4966" w:rsidRPr="001554BE" w14:paraId="0A995FB8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E25B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3.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977F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Grad Glina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9C631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2496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0,14</w:t>
            </w:r>
          </w:p>
        </w:tc>
      </w:tr>
      <w:tr w:rsidR="00ED4966" w:rsidRPr="001554BE" w14:paraId="4ED5E974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56D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4.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A72F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Općina Topusko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A5F1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EFA9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0,18</w:t>
            </w:r>
          </w:p>
        </w:tc>
      </w:tr>
      <w:tr w:rsidR="00ED4966" w:rsidRPr="001554BE" w14:paraId="5B4532E2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9F6C8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5.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D4939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Općina Gvozd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DF35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C360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0,18</w:t>
            </w:r>
          </w:p>
        </w:tc>
      </w:tr>
      <w:tr w:rsidR="00ED4966" w:rsidRPr="001554BE" w14:paraId="20FC09BE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EF6E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6.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714F1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Grad Hrvatska Kostajnica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B546B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51E2" w14:textId="0E2FF17A" w:rsidR="00ED4966" w:rsidRPr="001554BE" w:rsidRDefault="004F7AFC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0,67</w:t>
            </w:r>
          </w:p>
        </w:tc>
      </w:tr>
      <w:tr w:rsidR="00ED4966" w:rsidRPr="001554BE" w14:paraId="37C36D8B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922C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7.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A54C9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Općina Majur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82B5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1925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-</w:t>
            </w:r>
          </w:p>
        </w:tc>
      </w:tr>
      <w:tr w:rsidR="00ED4966" w:rsidRPr="001554BE" w14:paraId="5C289B91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43D0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8.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65FE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Općina Donji Kukuruzari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9C8A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16C1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-</w:t>
            </w:r>
          </w:p>
        </w:tc>
      </w:tr>
      <w:tr w:rsidR="00ED4966" w:rsidRPr="001554BE" w14:paraId="5389AF53" w14:textId="77777777" w:rsidTr="00520721">
        <w:trPr>
          <w:trHeight w:val="288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DF06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9.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9863" w14:textId="77777777" w:rsidR="00ED4966" w:rsidRPr="001554BE" w:rsidRDefault="00ED4966" w:rsidP="00ED496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Općina Dvor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ED212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0,28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0104" w14:textId="77777777" w:rsidR="00ED4966" w:rsidRPr="001554BE" w:rsidRDefault="00ED4966" w:rsidP="00ED49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554BE">
              <w:rPr>
                <w:rFonts w:eastAsia="Times New Roman" w:cstheme="minorHAnsi"/>
                <w:color w:val="000000"/>
                <w:lang w:eastAsia="hr-HR"/>
              </w:rPr>
              <w:t>0,03</w:t>
            </w:r>
          </w:p>
        </w:tc>
      </w:tr>
    </w:tbl>
    <w:p w14:paraId="10706BC8" w14:textId="77777777" w:rsidR="001554BE" w:rsidRPr="001554BE" w:rsidRDefault="001554BE" w:rsidP="00F95257">
      <w:pPr>
        <w:rPr>
          <w:rFonts w:cstheme="minorHAnsi"/>
        </w:rPr>
      </w:pPr>
    </w:p>
    <w:p w14:paraId="4295DE8B" w14:textId="4AFEBDA8" w:rsidR="00FA0005" w:rsidRPr="001554BE" w:rsidRDefault="00FA0005" w:rsidP="00F95257">
      <w:pPr>
        <w:jc w:val="center"/>
        <w:rPr>
          <w:rFonts w:cstheme="minorHAnsi"/>
        </w:rPr>
      </w:pPr>
      <w:r w:rsidRPr="001554BE">
        <w:rPr>
          <w:rFonts w:cstheme="minorHAnsi"/>
        </w:rPr>
        <w:t xml:space="preserve">Članak </w:t>
      </w:r>
      <w:r w:rsidR="00F95257">
        <w:rPr>
          <w:rFonts w:cstheme="minorHAnsi"/>
        </w:rPr>
        <w:t>8</w:t>
      </w:r>
      <w:r w:rsidRPr="001554BE">
        <w:rPr>
          <w:rFonts w:cstheme="minorHAnsi"/>
        </w:rPr>
        <w:t>.</w:t>
      </w:r>
    </w:p>
    <w:p w14:paraId="6EEB7B7E" w14:textId="77777777" w:rsidR="00F95257" w:rsidRDefault="00FA0005" w:rsidP="00F95257">
      <w:pPr>
        <w:spacing w:after="0"/>
        <w:rPr>
          <w:rFonts w:cstheme="minorHAnsi"/>
        </w:rPr>
      </w:pPr>
      <w:r w:rsidRPr="00F95257">
        <w:rPr>
          <w:rFonts w:cstheme="minorHAnsi"/>
        </w:rPr>
        <w:t>Naknad</w:t>
      </w:r>
      <w:r w:rsidR="00F95257" w:rsidRPr="00F95257">
        <w:rPr>
          <w:rFonts w:cstheme="minorHAnsi"/>
        </w:rPr>
        <w:t>a</w:t>
      </w:r>
      <w:r w:rsidRPr="00F95257">
        <w:rPr>
          <w:rFonts w:cstheme="minorHAnsi"/>
        </w:rPr>
        <w:t xml:space="preserve"> za razvoj</w:t>
      </w:r>
      <w:r w:rsidR="00F95257" w:rsidRPr="00F95257">
        <w:rPr>
          <w:rFonts w:cstheme="minorHAnsi"/>
        </w:rPr>
        <w:t xml:space="preserve"> je prihod javnog isporučitelja vodnih usluga.</w:t>
      </w:r>
    </w:p>
    <w:p w14:paraId="57645279" w14:textId="1345917F" w:rsidR="00F95257" w:rsidRPr="00F95257" w:rsidRDefault="00F95257" w:rsidP="00F95257">
      <w:pPr>
        <w:spacing w:after="0"/>
        <w:rPr>
          <w:rFonts w:cstheme="minorHAnsi"/>
        </w:rPr>
      </w:pPr>
      <w:r w:rsidRPr="00F95257">
        <w:rPr>
          <w:rFonts w:cstheme="minorHAnsi"/>
        </w:rPr>
        <w:t>Obračunava se putem računa za vodne usluge na kojima sa zasebno iskazuje.</w:t>
      </w:r>
      <w:r w:rsidR="00FA0005" w:rsidRPr="00F95257">
        <w:rPr>
          <w:rFonts w:cstheme="minorHAnsi"/>
        </w:rPr>
        <w:t xml:space="preserve"> </w:t>
      </w:r>
    </w:p>
    <w:p w14:paraId="4634C0D2" w14:textId="2D5600AA" w:rsidR="000076EF" w:rsidRPr="00F95257" w:rsidRDefault="000076EF" w:rsidP="00F95257">
      <w:pPr>
        <w:spacing w:after="0"/>
        <w:rPr>
          <w:rFonts w:cstheme="minorHAnsi"/>
        </w:rPr>
      </w:pPr>
      <w:r w:rsidRPr="00F95257">
        <w:rPr>
          <w:rFonts w:cstheme="minorHAnsi"/>
        </w:rPr>
        <w:t xml:space="preserve">Naknada za razvoj ne podliježe obvezi plaćanja poreza na dodanu vrijednost. </w:t>
      </w:r>
    </w:p>
    <w:p w14:paraId="429BEEC1" w14:textId="77777777" w:rsidR="00F95257" w:rsidRDefault="00F95257" w:rsidP="000076EF">
      <w:pPr>
        <w:jc w:val="center"/>
        <w:rPr>
          <w:rFonts w:cstheme="minorHAnsi"/>
        </w:rPr>
      </w:pPr>
    </w:p>
    <w:p w14:paraId="2D7D1E59" w14:textId="60B76300" w:rsidR="000076EF" w:rsidRPr="001554BE" w:rsidRDefault="009A6B84" w:rsidP="000076EF">
      <w:pPr>
        <w:jc w:val="center"/>
        <w:rPr>
          <w:rFonts w:cstheme="minorHAnsi"/>
        </w:rPr>
      </w:pPr>
      <w:r w:rsidRPr="001554BE">
        <w:rPr>
          <w:rFonts w:cstheme="minorHAnsi"/>
        </w:rPr>
        <w:lastRenderedPageBreak/>
        <w:t xml:space="preserve"> </w:t>
      </w:r>
      <w:r w:rsidR="000076EF" w:rsidRPr="001554BE">
        <w:rPr>
          <w:rFonts w:cstheme="minorHAnsi"/>
        </w:rPr>
        <w:t xml:space="preserve">Članak </w:t>
      </w:r>
      <w:r w:rsidR="00F95257">
        <w:rPr>
          <w:rFonts w:cstheme="minorHAnsi"/>
        </w:rPr>
        <w:t>9</w:t>
      </w:r>
      <w:r w:rsidR="000076EF" w:rsidRPr="001554BE">
        <w:rPr>
          <w:rFonts w:cstheme="minorHAnsi"/>
        </w:rPr>
        <w:t>.</w:t>
      </w:r>
    </w:p>
    <w:p w14:paraId="2F7E7B92" w14:textId="79CBBAC7" w:rsidR="000076EF" w:rsidRPr="001554BE" w:rsidRDefault="000076EF" w:rsidP="00795C24">
      <w:pPr>
        <w:jc w:val="both"/>
        <w:rPr>
          <w:rFonts w:cstheme="minorHAnsi"/>
        </w:rPr>
      </w:pPr>
      <w:r w:rsidRPr="001554BE">
        <w:rPr>
          <w:rFonts w:cstheme="minorHAnsi"/>
        </w:rPr>
        <w:t xml:space="preserve">Nadzor nad obračunom i naplatom naknade za razvoj obavlja </w:t>
      </w:r>
      <w:r w:rsidR="00BF37D7" w:rsidRPr="001554BE">
        <w:rPr>
          <w:rFonts w:cstheme="minorHAnsi"/>
          <w:color w:val="231F20"/>
          <w:shd w:val="clear" w:color="auto" w:fill="FFFFFF"/>
        </w:rPr>
        <w:t xml:space="preserve">služba računovodstva, </w:t>
      </w:r>
      <w:r w:rsidRPr="001554BE">
        <w:rPr>
          <w:rFonts w:cstheme="minorHAnsi"/>
        </w:rPr>
        <w:t xml:space="preserve">a isporučitelj vodne usluge je obvezan prikupljenu naknadu za razvoj evidentirati u svojim poslovnim knjigama na posebnoj poziciji – kontu. </w:t>
      </w:r>
    </w:p>
    <w:p w14:paraId="5A27DDDB" w14:textId="2990E9C2" w:rsidR="003F19C1" w:rsidRDefault="00F95257" w:rsidP="00F95257">
      <w:pPr>
        <w:pStyle w:val="Bezproreda"/>
        <w:ind w:left="3540"/>
      </w:pPr>
      <w:r>
        <w:t xml:space="preserve">          </w:t>
      </w:r>
      <w:r w:rsidR="009A6B84" w:rsidRPr="001554BE">
        <w:t xml:space="preserve"> </w:t>
      </w:r>
      <w:bookmarkStart w:id="0" w:name="_Hlk231905156"/>
      <w:r w:rsidR="003F19C1" w:rsidRPr="001554BE">
        <w:t>Članak 1</w:t>
      </w:r>
      <w:r>
        <w:t>0</w:t>
      </w:r>
      <w:r w:rsidR="003F19C1" w:rsidRPr="001554BE">
        <w:t>.</w:t>
      </w:r>
      <w:bookmarkEnd w:id="0"/>
    </w:p>
    <w:p w14:paraId="235F1931" w14:textId="77777777" w:rsidR="00F95257" w:rsidRDefault="00F95257" w:rsidP="00795C24">
      <w:pPr>
        <w:pStyle w:val="Bezproreda"/>
        <w:ind w:left="3540"/>
        <w:jc w:val="both"/>
      </w:pPr>
    </w:p>
    <w:p w14:paraId="20179F6F" w14:textId="6561C056" w:rsidR="00F95257" w:rsidRPr="00F95257" w:rsidRDefault="00F95257" w:rsidP="00795C24">
      <w:pPr>
        <w:pStyle w:val="Bezproreda"/>
        <w:jc w:val="both"/>
      </w:pPr>
      <w:r w:rsidRPr="00F95257">
        <w:t xml:space="preserve">Isporučitelj vodne usluge iz članka 1. ove Odluke je dužan svake godine do 30. lipnja tekuće godine za prošlu godinu dostaviti izvještaj o obračunatim, naplaćenim i utrošenim sredstvima naknade za razvoj Skupštini Društva. </w:t>
      </w:r>
    </w:p>
    <w:p w14:paraId="3C02D698" w14:textId="612BB88A" w:rsidR="00F95257" w:rsidRPr="004B528D" w:rsidRDefault="00F95257" w:rsidP="004B528D">
      <w:pPr>
        <w:jc w:val="center"/>
        <w:rPr>
          <w:rFonts w:cstheme="minorHAnsi"/>
        </w:rPr>
      </w:pPr>
      <w:bookmarkStart w:id="1" w:name="_Hlk231905443"/>
      <w:r w:rsidRPr="001554BE">
        <w:rPr>
          <w:rFonts w:cstheme="minorHAnsi"/>
        </w:rPr>
        <w:t>Članak 1</w:t>
      </w:r>
      <w:r w:rsidR="008D2B79">
        <w:rPr>
          <w:rFonts w:cstheme="minorHAnsi"/>
        </w:rPr>
        <w:t>1</w:t>
      </w:r>
      <w:r w:rsidRPr="001554BE">
        <w:rPr>
          <w:rFonts w:cstheme="minorHAnsi"/>
        </w:rPr>
        <w:t>.</w:t>
      </w:r>
    </w:p>
    <w:p w14:paraId="21832F99" w14:textId="77777777" w:rsidR="00F95257" w:rsidRPr="001554BE" w:rsidRDefault="00F95257" w:rsidP="00F95257">
      <w:pPr>
        <w:pStyle w:val="Bezproreda"/>
      </w:pPr>
    </w:p>
    <w:p w14:paraId="5FD46CEC" w14:textId="4C078109" w:rsidR="00956617" w:rsidRPr="001554BE" w:rsidRDefault="003F19C1" w:rsidP="00795C24">
      <w:pPr>
        <w:jc w:val="both"/>
        <w:rPr>
          <w:rFonts w:cstheme="minorHAnsi"/>
        </w:rPr>
      </w:pPr>
      <w:r w:rsidRPr="001554BE">
        <w:rPr>
          <w:rFonts w:cstheme="minorHAnsi"/>
        </w:rPr>
        <w:t>Stupanjem na snagu ove Odluke prestaj</w:t>
      </w:r>
      <w:r w:rsidR="00956617" w:rsidRPr="001554BE">
        <w:rPr>
          <w:rFonts w:cstheme="minorHAnsi"/>
        </w:rPr>
        <w:t>u</w:t>
      </w:r>
      <w:r w:rsidRPr="001554BE">
        <w:rPr>
          <w:rFonts w:cstheme="minorHAnsi"/>
        </w:rPr>
        <w:t xml:space="preserve"> važiti</w:t>
      </w:r>
      <w:r w:rsidR="00956617" w:rsidRPr="001554BE">
        <w:rPr>
          <w:rFonts w:cstheme="minorHAnsi"/>
        </w:rPr>
        <w:t>:</w:t>
      </w:r>
    </w:p>
    <w:p w14:paraId="39EECC3B" w14:textId="08041A4B" w:rsidR="003F19C1" w:rsidRPr="001554BE" w:rsidRDefault="003F19C1" w:rsidP="00795C24">
      <w:pPr>
        <w:pStyle w:val="Bezproreda"/>
        <w:jc w:val="both"/>
      </w:pPr>
      <w:r w:rsidRPr="001554BE">
        <w:t xml:space="preserve">Odluka o </w:t>
      </w:r>
      <w:r w:rsidR="00956617" w:rsidRPr="001554BE">
        <w:t>naknadi</w:t>
      </w:r>
      <w:r w:rsidR="00141E4B" w:rsidRPr="001554BE">
        <w:t xml:space="preserve"> za razvoj</w:t>
      </w:r>
      <w:r w:rsidR="00AB7CDF" w:rsidRPr="001554BE">
        <w:t xml:space="preserve"> </w:t>
      </w:r>
      <w:r w:rsidR="00D519E1" w:rsidRPr="001554BE">
        <w:t xml:space="preserve">komunalnih vodnih građevina na području </w:t>
      </w:r>
      <w:r w:rsidR="00575B10">
        <w:t>g</w:t>
      </w:r>
      <w:r w:rsidR="00D519E1" w:rsidRPr="001554BE">
        <w:t xml:space="preserve">rada Petrinje </w:t>
      </w:r>
      <w:r w:rsidR="009A6B84" w:rsidRPr="001554BE">
        <w:t xml:space="preserve">od </w:t>
      </w:r>
      <w:r w:rsidR="00956617" w:rsidRPr="001554BE">
        <w:t>08.</w:t>
      </w:r>
      <w:r w:rsidR="00823270" w:rsidRPr="001554BE">
        <w:t xml:space="preserve"> </w:t>
      </w:r>
      <w:r w:rsidR="00956617" w:rsidRPr="001554BE">
        <w:t>studenog 2024</w:t>
      </w:r>
      <w:r w:rsidR="009A6B84" w:rsidRPr="001554BE">
        <w:t>. godine (</w:t>
      </w:r>
      <w:r w:rsidR="00D519E1" w:rsidRPr="001554BE">
        <w:t xml:space="preserve">NN </w:t>
      </w:r>
      <w:r w:rsidR="00956617" w:rsidRPr="001554BE">
        <w:t>124</w:t>
      </w:r>
      <w:r w:rsidR="00D519E1" w:rsidRPr="001554BE">
        <w:t>/</w:t>
      </w:r>
      <w:r w:rsidR="00956617" w:rsidRPr="001554BE">
        <w:t>24</w:t>
      </w:r>
      <w:r w:rsidR="00D519E1" w:rsidRPr="001554BE">
        <w:t>)</w:t>
      </w:r>
      <w:r w:rsidR="00956617" w:rsidRPr="001554BE">
        <w:t>,</w:t>
      </w:r>
    </w:p>
    <w:p w14:paraId="4AB2CCE7" w14:textId="391BC26C" w:rsidR="00956617" w:rsidRPr="001554BE" w:rsidRDefault="00956617" w:rsidP="00795C24">
      <w:pPr>
        <w:pStyle w:val="Bezproreda"/>
        <w:jc w:val="both"/>
      </w:pPr>
      <w:r w:rsidRPr="001554BE">
        <w:t xml:space="preserve">Odluka o naknadi za razvoj javne vodoopskrbe i odvodnje na području </w:t>
      </w:r>
      <w:r w:rsidR="00575B10">
        <w:t>g</w:t>
      </w:r>
      <w:r w:rsidRPr="001554BE">
        <w:t>rada Gline od 10. svibnja 2022. godine (NN 69/22),</w:t>
      </w:r>
    </w:p>
    <w:p w14:paraId="74D64F2E" w14:textId="4D3AAFFE" w:rsidR="00956617" w:rsidRPr="001554BE" w:rsidRDefault="00956617" w:rsidP="00795C24">
      <w:pPr>
        <w:pStyle w:val="Bezproreda"/>
        <w:jc w:val="both"/>
      </w:pPr>
      <w:r w:rsidRPr="001554BE">
        <w:t xml:space="preserve">Odluka o naknadi za razvoj na području </w:t>
      </w:r>
      <w:r w:rsidR="00823270" w:rsidRPr="001554BE">
        <w:t>o</w:t>
      </w:r>
      <w:r w:rsidRPr="001554BE">
        <w:t>pćine Topusko od 13. srpnja 2022. godine (NN 82/22)</w:t>
      </w:r>
      <w:r w:rsidR="001554BE" w:rsidRPr="001554BE">
        <w:t>.</w:t>
      </w:r>
    </w:p>
    <w:bookmarkEnd w:id="1"/>
    <w:p w14:paraId="4945D9C8" w14:textId="77777777" w:rsidR="004B528D" w:rsidRDefault="005332D9" w:rsidP="005332D9">
      <w:pPr>
        <w:rPr>
          <w:rFonts w:cstheme="minorHAnsi"/>
        </w:rPr>
      </w:pPr>
      <w:r w:rsidRPr="001554BE">
        <w:rPr>
          <w:rFonts w:cstheme="minorHAnsi"/>
        </w:rPr>
        <w:t xml:space="preserve">                                                                     </w:t>
      </w:r>
    </w:p>
    <w:p w14:paraId="1CA23D0A" w14:textId="6F890767" w:rsidR="00141E4B" w:rsidRDefault="004B528D" w:rsidP="004B528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</w:t>
      </w:r>
      <w:r w:rsidR="00141E4B" w:rsidRPr="001554BE">
        <w:rPr>
          <w:rFonts w:cstheme="minorHAnsi"/>
        </w:rPr>
        <w:t>Članak 1</w:t>
      </w:r>
      <w:r w:rsidR="00F95257">
        <w:rPr>
          <w:rFonts w:cstheme="minorHAnsi"/>
        </w:rPr>
        <w:t>2</w:t>
      </w:r>
      <w:r w:rsidR="009A6B84" w:rsidRPr="001554BE">
        <w:rPr>
          <w:rFonts w:cstheme="minorHAnsi"/>
        </w:rPr>
        <w:t>.</w:t>
      </w:r>
      <w:r w:rsidR="00141E4B" w:rsidRPr="001554BE">
        <w:rPr>
          <w:rFonts w:cstheme="minorHAnsi"/>
        </w:rPr>
        <w:t xml:space="preserve"> </w:t>
      </w:r>
    </w:p>
    <w:p w14:paraId="4BD65053" w14:textId="12E3EDA7" w:rsidR="00F95257" w:rsidRPr="001554BE" w:rsidRDefault="00F95257" w:rsidP="00795C24">
      <w:pPr>
        <w:jc w:val="both"/>
        <w:rPr>
          <w:rFonts w:cstheme="minorHAnsi"/>
        </w:rPr>
      </w:pPr>
      <w:r w:rsidRPr="00F95257">
        <w:rPr>
          <w:rFonts w:cstheme="minorHAnsi"/>
        </w:rPr>
        <w:t xml:space="preserve">Ova Odluka objavit će se u »Narodnim novinama« i mrežnim stranicama društva </w:t>
      </w:r>
      <w:r w:rsidR="008D2B79">
        <w:rPr>
          <w:rFonts w:cstheme="minorHAnsi"/>
        </w:rPr>
        <w:t>.</w:t>
      </w:r>
    </w:p>
    <w:p w14:paraId="2408FF4D" w14:textId="0836FE59" w:rsidR="004B528D" w:rsidRDefault="004B528D" w:rsidP="00795C24">
      <w:pPr>
        <w:pStyle w:val="Bezproreda"/>
        <w:jc w:val="both"/>
      </w:pPr>
      <w:r w:rsidRPr="004B528D">
        <w:t>Ova Odluka stupa na snagu prvoga dana u mjesecu nakon mjeseca u kojem je objavljena u »Narodnim novinama«</w:t>
      </w:r>
      <w:r>
        <w:t>.</w:t>
      </w:r>
    </w:p>
    <w:p w14:paraId="023524C7" w14:textId="4D04D6B2" w:rsidR="00375094" w:rsidRPr="001554BE" w:rsidRDefault="00375094" w:rsidP="00375094">
      <w:pPr>
        <w:rPr>
          <w:rFonts w:cstheme="minorHAnsi"/>
        </w:rPr>
      </w:pPr>
      <w:r w:rsidRPr="001554BE">
        <w:rPr>
          <w:rFonts w:cstheme="minorHAnsi"/>
        </w:rPr>
        <w:tab/>
      </w:r>
      <w:r w:rsidRPr="001554BE">
        <w:rPr>
          <w:rFonts w:cstheme="minorHAnsi"/>
        </w:rPr>
        <w:tab/>
      </w:r>
      <w:r w:rsidRPr="001554BE">
        <w:rPr>
          <w:rFonts w:cstheme="minorHAnsi"/>
        </w:rPr>
        <w:tab/>
      </w:r>
      <w:r w:rsidRPr="001554BE">
        <w:rPr>
          <w:rFonts w:cstheme="minorHAnsi"/>
        </w:rPr>
        <w:tab/>
      </w:r>
      <w:r w:rsidRPr="001554BE">
        <w:rPr>
          <w:rFonts w:cstheme="minorHAnsi"/>
        </w:rPr>
        <w:tab/>
      </w:r>
      <w:r w:rsidRPr="001554BE">
        <w:rPr>
          <w:rFonts w:cstheme="minorHAnsi"/>
        </w:rPr>
        <w:tab/>
      </w:r>
      <w:r w:rsidRPr="001554BE">
        <w:rPr>
          <w:rFonts w:cstheme="minorHAnsi"/>
        </w:rPr>
        <w:tab/>
      </w:r>
      <w:r w:rsidRPr="001554BE">
        <w:rPr>
          <w:rFonts w:cstheme="minorHAnsi"/>
        </w:rPr>
        <w:tab/>
        <w:t>Predsjedavajući  Skupštine</w:t>
      </w:r>
    </w:p>
    <w:p w14:paraId="0835C036" w14:textId="0B46B795" w:rsidR="002B7AC0" w:rsidRDefault="00375094" w:rsidP="00DE4D33">
      <w:pPr>
        <w:ind w:left="5664"/>
      </w:pPr>
      <w:r w:rsidRPr="001554BE">
        <w:rPr>
          <w:rFonts w:cstheme="minorHAnsi"/>
        </w:rPr>
        <w:t>Gradonačelnica Grada Petrinje</w:t>
      </w:r>
      <w:r w:rsidR="00DE4D33" w:rsidRPr="001554BE">
        <w:rPr>
          <w:rFonts w:cstheme="minorHAnsi"/>
        </w:rPr>
        <w:t xml:space="preserve">                    </w:t>
      </w:r>
      <w:r w:rsidRPr="001554BE">
        <w:rPr>
          <w:rFonts w:cstheme="minorHAnsi"/>
        </w:rPr>
        <w:t xml:space="preserve">Magdalena </w:t>
      </w:r>
      <w:proofErr w:type="spellStart"/>
      <w:r w:rsidRPr="001554BE">
        <w:rPr>
          <w:rFonts w:cstheme="minorHAnsi"/>
        </w:rPr>
        <w:t>Komes</w:t>
      </w:r>
      <w:proofErr w:type="spellEnd"/>
      <w:r w:rsidRPr="001554BE">
        <w:rPr>
          <w:rFonts w:cstheme="minorHAnsi"/>
        </w:rPr>
        <w:t xml:space="preserve"> </w:t>
      </w:r>
      <w:proofErr w:type="spellStart"/>
      <w:r w:rsidRPr="001554BE">
        <w:rPr>
          <w:rFonts w:cstheme="minorHAnsi"/>
        </w:rPr>
        <w:t>dipl.iur</w:t>
      </w:r>
      <w:proofErr w:type="spellEnd"/>
      <w:r w:rsidRPr="001554BE">
        <w:rPr>
          <w:rFonts w:cstheme="minorHAnsi"/>
        </w:rPr>
        <w:t>.</w:t>
      </w:r>
      <w:r w:rsidR="00252FA2" w:rsidRPr="001554BE">
        <w:rPr>
          <w:rFonts w:cstheme="minorHAnsi"/>
        </w:rPr>
        <w:tab/>
      </w:r>
      <w:r w:rsidR="00252FA2">
        <w:tab/>
      </w:r>
      <w:r w:rsidR="002B7AC0">
        <w:t xml:space="preserve"> </w:t>
      </w:r>
    </w:p>
    <w:sectPr w:rsidR="002B7AC0" w:rsidSect="00CF08D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53912"/>
    <w:multiLevelType w:val="hybridMultilevel"/>
    <w:tmpl w:val="FB708C02"/>
    <w:lvl w:ilvl="0" w:tplc="6804C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6A"/>
    <w:rsid w:val="000076EF"/>
    <w:rsid w:val="00030E26"/>
    <w:rsid w:val="00070979"/>
    <w:rsid w:val="00141E4B"/>
    <w:rsid w:val="00150809"/>
    <w:rsid w:val="001554BE"/>
    <w:rsid w:val="001B777E"/>
    <w:rsid w:val="0022716E"/>
    <w:rsid w:val="00240D92"/>
    <w:rsid w:val="00252FA2"/>
    <w:rsid w:val="002A2B28"/>
    <w:rsid w:val="002B7AC0"/>
    <w:rsid w:val="002C21B7"/>
    <w:rsid w:val="00366F51"/>
    <w:rsid w:val="00375094"/>
    <w:rsid w:val="003931AC"/>
    <w:rsid w:val="003F19C1"/>
    <w:rsid w:val="00447F59"/>
    <w:rsid w:val="00481C56"/>
    <w:rsid w:val="00493F71"/>
    <w:rsid w:val="004B528D"/>
    <w:rsid w:val="004C0D4A"/>
    <w:rsid w:val="004F7AFC"/>
    <w:rsid w:val="00523369"/>
    <w:rsid w:val="00525802"/>
    <w:rsid w:val="005267AE"/>
    <w:rsid w:val="005332D9"/>
    <w:rsid w:val="00534B97"/>
    <w:rsid w:val="00545CCD"/>
    <w:rsid w:val="005722A6"/>
    <w:rsid w:val="00575B10"/>
    <w:rsid w:val="005B22A5"/>
    <w:rsid w:val="005C488A"/>
    <w:rsid w:val="005F191D"/>
    <w:rsid w:val="0060606D"/>
    <w:rsid w:val="0063498C"/>
    <w:rsid w:val="006437E3"/>
    <w:rsid w:val="00731774"/>
    <w:rsid w:val="00795C24"/>
    <w:rsid w:val="007C03CF"/>
    <w:rsid w:val="007F7844"/>
    <w:rsid w:val="00823270"/>
    <w:rsid w:val="0084336B"/>
    <w:rsid w:val="00871855"/>
    <w:rsid w:val="0089383D"/>
    <w:rsid w:val="008D2B79"/>
    <w:rsid w:val="00956617"/>
    <w:rsid w:val="00980DEA"/>
    <w:rsid w:val="009A6B84"/>
    <w:rsid w:val="009B1194"/>
    <w:rsid w:val="009D5481"/>
    <w:rsid w:val="009E642F"/>
    <w:rsid w:val="00A92BF3"/>
    <w:rsid w:val="00AB7CDF"/>
    <w:rsid w:val="00AD7639"/>
    <w:rsid w:val="00AE4B9A"/>
    <w:rsid w:val="00BF37D7"/>
    <w:rsid w:val="00C30992"/>
    <w:rsid w:val="00C63EDC"/>
    <w:rsid w:val="00C906B7"/>
    <w:rsid w:val="00CD2F91"/>
    <w:rsid w:val="00CF08D0"/>
    <w:rsid w:val="00D3125D"/>
    <w:rsid w:val="00D519E1"/>
    <w:rsid w:val="00D56AB6"/>
    <w:rsid w:val="00D9656A"/>
    <w:rsid w:val="00DE14D7"/>
    <w:rsid w:val="00DE4D33"/>
    <w:rsid w:val="00ED4966"/>
    <w:rsid w:val="00F012C2"/>
    <w:rsid w:val="00F430F9"/>
    <w:rsid w:val="00F5120F"/>
    <w:rsid w:val="00F95257"/>
    <w:rsid w:val="00FA0005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8C59"/>
  <w15:chartTrackingRefBased/>
  <w15:docId w15:val="{11D35739-51F3-400A-A5E4-EAE05976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AC0"/>
    <w:pPr>
      <w:ind w:left="720"/>
      <w:contextualSpacing/>
    </w:pPr>
  </w:style>
  <w:style w:type="paragraph" w:customStyle="1" w:styleId="t-9-8">
    <w:name w:val="t-9-8"/>
    <w:basedOn w:val="Normal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31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Borošić</dc:creator>
  <cp:keywords/>
  <dc:description/>
  <cp:lastModifiedBy>Vesna Kardaš</cp:lastModifiedBy>
  <cp:revision>3</cp:revision>
  <cp:lastPrinted>2024-11-11T12:52:00Z</cp:lastPrinted>
  <dcterms:created xsi:type="dcterms:W3CDTF">2026-06-10T09:01:00Z</dcterms:created>
  <dcterms:modified xsi:type="dcterms:W3CDTF">2026-06-10T09:07:00Z</dcterms:modified>
</cp:coreProperties>
</file>