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Layout w:type="fixed"/>
        <w:tblLook w:val="04A0" w:firstRow="1" w:lastRow="0" w:firstColumn="1" w:lastColumn="0" w:noHBand="0" w:noVBand="1"/>
      </w:tblPr>
      <w:tblGrid>
        <w:gridCol w:w="704"/>
        <w:gridCol w:w="1559"/>
        <w:gridCol w:w="993"/>
        <w:gridCol w:w="3685"/>
        <w:gridCol w:w="2121"/>
      </w:tblGrid>
      <w:tr w:rsidR="002A4988" w14:paraId="19A78FD1" w14:textId="77777777" w:rsidTr="00B9455B">
        <w:tc>
          <w:tcPr>
            <w:tcW w:w="9062" w:type="dxa"/>
            <w:gridSpan w:val="5"/>
          </w:tcPr>
          <w:p w14:paraId="2E726F5D" w14:textId="68B67D2D" w:rsidR="002A4988" w:rsidRPr="003435A4" w:rsidRDefault="002A4988" w:rsidP="002A4988">
            <w:pPr>
              <w:jc w:val="center"/>
              <w:rPr>
                <w:b/>
                <w:bCs/>
                <w:sz w:val="28"/>
                <w:szCs w:val="28"/>
              </w:rPr>
            </w:pPr>
            <w:r w:rsidRPr="003435A4">
              <w:rPr>
                <w:b/>
                <w:bCs/>
                <w:sz w:val="28"/>
                <w:szCs w:val="28"/>
              </w:rPr>
              <w:t>OBRAZAC</w:t>
            </w:r>
          </w:p>
          <w:p w14:paraId="311BFC37" w14:textId="3BED1FD5" w:rsidR="002A4988" w:rsidRDefault="002A4988" w:rsidP="002A4988">
            <w:pPr>
              <w:jc w:val="center"/>
            </w:pPr>
            <w:r w:rsidRPr="003435A4">
              <w:rPr>
                <w:b/>
                <w:bCs/>
                <w:sz w:val="28"/>
                <w:szCs w:val="28"/>
              </w:rPr>
              <w:t>IZVJEŠĆA O PROVEDENOM SAVJETOVANJU S JAVNOŠĆU</w:t>
            </w:r>
          </w:p>
        </w:tc>
      </w:tr>
      <w:tr w:rsidR="00B34926" w14:paraId="3BEDD890" w14:textId="77777777" w:rsidTr="009C0092">
        <w:tc>
          <w:tcPr>
            <w:tcW w:w="3256" w:type="dxa"/>
            <w:gridSpan w:val="3"/>
          </w:tcPr>
          <w:p w14:paraId="4C45037E" w14:textId="22FB8AA1" w:rsidR="002A4988" w:rsidRDefault="002A4988" w:rsidP="002A4988">
            <w:r>
              <w:t xml:space="preserve">Naziv nacrta odluke ili drugog općeg akta o kojem je savjetovanje provedeno </w:t>
            </w:r>
          </w:p>
        </w:tc>
        <w:tc>
          <w:tcPr>
            <w:tcW w:w="5806" w:type="dxa"/>
            <w:gridSpan w:val="2"/>
          </w:tcPr>
          <w:p w14:paraId="0EA3C5F4" w14:textId="79851BB9" w:rsidR="002A4988" w:rsidRPr="00B34926" w:rsidRDefault="00A945CC" w:rsidP="002A4988">
            <w:pPr>
              <w:rPr>
                <w:sz w:val="28"/>
                <w:szCs w:val="28"/>
              </w:rPr>
            </w:pPr>
            <w:r>
              <w:rPr>
                <w:sz w:val="28"/>
                <w:szCs w:val="28"/>
              </w:rPr>
              <w:t xml:space="preserve">ODLUKA O CIJENI VODNIH USLUGA </w:t>
            </w:r>
          </w:p>
        </w:tc>
      </w:tr>
      <w:tr w:rsidR="00B34926" w14:paraId="77C23E83" w14:textId="77777777" w:rsidTr="009C0092">
        <w:tc>
          <w:tcPr>
            <w:tcW w:w="3256" w:type="dxa"/>
            <w:gridSpan w:val="3"/>
          </w:tcPr>
          <w:p w14:paraId="2E99EB9F" w14:textId="51309FAC" w:rsidR="002A4988" w:rsidRDefault="002A4988" w:rsidP="002A4988">
            <w:r>
              <w:t>Nositelj izrade nacrta akta (pravna osoba koja je provela savjetovanje)</w:t>
            </w:r>
          </w:p>
        </w:tc>
        <w:tc>
          <w:tcPr>
            <w:tcW w:w="5806" w:type="dxa"/>
            <w:gridSpan w:val="2"/>
          </w:tcPr>
          <w:p w14:paraId="10EA05B4" w14:textId="77777777" w:rsidR="005733BA" w:rsidRDefault="00C50E82" w:rsidP="002A4988">
            <w:r w:rsidRPr="00B34926">
              <w:t xml:space="preserve">Vode Banovine d.o.o.                                                </w:t>
            </w:r>
          </w:p>
          <w:p w14:paraId="61F10E66" w14:textId="7CE99697" w:rsidR="002A4988" w:rsidRPr="00B34926" w:rsidRDefault="00C50E82" w:rsidP="002A4988">
            <w:r w:rsidRPr="00B34926">
              <w:t>Braće Hanžek 19, Petrinja                                                      OIB: 12266526926</w:t>
            </w:r>
          </w:p>
        </w:tc>
      </w:tr>
      <w:tr w:rsidR="00B34926" w14:paraId="01889F3B" w14:textId="77777777" w:rsidTr="009C0092">
        <w:tc>
          <w:tcPr>
            <w:tcW w:w="3256" w:type="dxa"/>
            <w:gridSpan w:val="3"/>
          </w:tcPr>
          <w:p w14:paraId="71E51129" w14:textId="746ADD79" w:rsidR="002A4988" w:rsidRDefault="002A4988" w:rsidP="002A4988">
            <w:r>
              <w:t>Vrijeme trajanja savjetovanja</w:t>
            </w:r>
          </w:p>
        </w:tc>
        <w:tc>
          <w:tcPr>
            <w:tcW w:w="5806" w:type="dxa"/>
            <w:gridSpan w:val="2"/>
          </w:tcPr>
          <w:p w14:paraId="7BD04F8C" w14:textId="31FD55A9" w:rsidR="002A4988" w:rsidRDefault="00B9455B" w:rsidP="002A4988">
            <w:r>
              <w:t>Od 1</w:t>
            </w:r>
            <w:r w:rsidR="00A945CC">
              <w:t xml:space="preserve">0.ožujka 2026. do 10.travnja 2026. </w:t>
            </w:r>
          </w:p>
        </w:tc>
      </w:tr>
      <w:tr w:rsidR="00B34926" w14:paraId="3E458F32" w14:textId="77777777" w:rsidTr="009C0092">
        <w:tc>
          <w:tcPr>
            <w:tcW w:w="3256" w:type="dxa"/>
            <w:gridSpan w:val="3"/>
          </w:tcPr>
          <w:p w14:paraId="7151472A" w14:textId="682EE089" w:rsidR="002A4988" w:rsidRDefault="002A4988" w:rsidP="002A4988">
            <w:r>
              <w:t xml:space="preserve">Metoda savjetovanja </w:t>
            </w:r>
          </w:p>
        </w:tc>
        <w:tc>
          <w:tcPr>
            <w:tcW w:w="5806" w:type="dxa"/>
            <w:gridSpan w:val="2"/>
          </w:tcPr>
          <w:p w14:paraId="562400F5" w14:textId="585CE0C2" w:rsidR="002A4988" w:rsidRDefault="00B9455B" w:rsidP="002A4988">
            <w:r>
              <w:t>Internetsko savjetovanje</w:t>
            </w:r>
          </w:p>
        </w:tc>
      </w:tr>
      <w:tr w:rsidR="00475369" w14:paraId="202AEB5C" w14:textId="7EEF6068" w:rsidTr="009C0092">
        <w:tc>
          <w:tcPr>
            <w:tcW w:w="704" w:type="dxa"/>
          </w:tcPr>
          <w:p w14:paraId="0D9342FD" w14:textId="5EF2CC37" w:rsidR="002A4988" w:rsidRDefault="002A4988" w:rsidP="002A4988">
            <w:r>
              <w:t xml:space="preserve">Red.br. </w:t>
            </w:r>
          </w:p>
        </w:tc>
        <w:tc>
          <w:tcPr>
            <w:tcW w:w="1559" w:type="dxa"/>
          </w:tcPr>
          <w:p w14:paraId="10E149AE" w14:textId="3EB7032C" w:rsidR="002A4988" w:rsidRDefault="002A4988" w:rsidP="002A4988">
            <w:r>
              <w:t>Predstavnici javnosti (pojedinac, organizacija, institucija)</w:t>
            </w:r>
          </w:p>
        </w:tc>
        <w:tc>
          <w:tcPr>
            <w:tcW w:w="993" w:type="dxa"/>
          </w:tcPr>
          <w:p w14:paraId="733E1989" w14:textId="1C5178F7" w:rsidR="002A4988" w:rsidRDefault="002A4988" w:rsidP="002A4988">
            <w:r>
              <w:t xml:space="preserve">Članak na koji se odnosi primjedba/ prijedlog </w:t>
            </w:r>
          </w:p>
        </w:tc>
        <w:tc>
          <w:tcPr>
            <w:tcW w:w="3685" w:type="dxa"/>
          </w:tcPr>
          <w:p w14:paraId="657DA4DF" w14:textId="420975D5" w:rsidR="002A4988" w:rsidRDefault="002A4988" w:rsidP="002A4988">
            <w:r>
              <w:t xml:space="preserve">Tekst primjedbe/ prijedloga </w:t>
            </w:r>
          </w:p>
        </w:tc>
        <w:tc>
          <w:tcPr>
            <w:tcW w:w="2121" w:type="dxa"/>
          </w:tcPr>
          <w:p w14:paraId="405272D6" w14:textId="16A7C793" w:rsidR="002A4988" w:rsidRDefault="002A4988" w:rsidP="002A4988">
            <w:r>
              <w:t xml:space="preserve">Prihvaćanje/neprihvaćanje primjedbe/prijedloga sa obrazloženjem </w:t>
            </w:r>
          </w:p>
        </w:tc>
      </w:tr>
      <w:tr w:rsidR="00AE4A9D" w14:paraId="766BAAE5" w14:textId="71339FE1" w:rsidTr="009C0092">
        <w:tblPrEx>
          <w:tblLook w:val="0000" w:firstRow="0" w:lastRow="0" w:firstColumn="0" w:lastColumn="0" w:noHBand="0" w:noVBand="0"/>
        </w:tblPrEx>
        <w:trPr>
          <w:trHeight w:val="630"/>
        </w:trPr>
        <w:tc>
          <w:tcPr>
            <w:tcW w:w="704" w:type="dxa"/>
          </w:tcPr>
          <w:p w14:paraId="1327BC33" w14:textId="6D347FD5" w:rsidR="00AE4A9D" w:rsidRDefault="00AE4A9D" w:rsidP="00AE4A9D">
            <w:pPr>
              <w:pStyle w:val="Odlomakpopisa"/>
              <w:numPr>
                <w:ilvl w:val="0"/>
                <w:numId w:val="1"/>
              </w:numPr>
              <w:jc w:val="center"/>
            </w:pPr>
          </w:p>
        </w:tc>
        <w:tc>
          <w:tcPr>
            <w:tcW w:w="1559" w:type="dxa"/>
          </w:tcPr>
          <w:p w14:paraId="56CBFE0F" w14:textId="716315DF" w:rsidR="00AE4A9D" w:rsidRDefault="00AE4A9D" w:rsidP="00AE4A9D">
            <w:r>
              <w:t xml:space="preserve">Gradonačelnik Grada Hrvatske Kostajnice Dalibor Bišćan, mag. ing. </w:t>
            </w:r>
          </w:p>
        </w:tc>
        <w:tc>
          <w:tcPr>
            <w:tcW w:w="993" w:type="dxa"/>
          </w:tcPr>
          <w:p w14:paraId="32716D4A" w14:textId="1EBA9BB7" w:rsidR="00AE4A9D" w:rsidRDefault="00AE4A9D" w:rsidP="00AE4A9D">
            <w:r>
              <w:t xml:space="preserve">Članci 1.,9. i 10. nacrta Odluke </w:t>
            </w:r>
          </w:p>
        </w:tc>
        <w:tc>
          <w:tcPr>
            <w:tcW w:w="3685" w:type="dxa"/>
          </w:tcPr>
          <w:p w14:paraId="13B0C500" w14:textId="77777777" w:rsidR="00AE4A9D" w:rsidRPr="00A945CC" w:rsidRDefault="00AE4A9D" w:rsidP="00AE4A9D">
            <w:pPr>
              <w:rPr>
                <w:sz w:val="22"/>
                <w:szCs w:val="22"/>
              </w:rPr>
            </w:pPr>
            <w:r w:rsidRPr="00A945CC">
              <w:rPr>
                <w:sz w:val="22"/>
                <w:szCs w:val="22"/>
              </w:rPr>
              <w:t xml:space="preserve">Vezano uz članke 1., 9. i 10. nacrta Odluke, Grad Hrvatska Kostajnica ističe da se vodne usluge moraju pružati pod socijalno priuštivim uvjetima te učinkovito, ekonomično i svrhovito (čl. 5. st. 1. i 2. Zakona o vodnim uslugama), a cijena se uz načelo povrata troškova  mora određivati i po načelima pravičnosti, zaštite od monopola i socijalne priuštivosti cijene vode (čl. 5. st. 5. ZVU). Pri provedbi povrata troškova mora se voditi računa o socijalnim i gospodarskim učincima (čl. 3. a st. 5. Zakona o financiranju vodnoga gospodarstva). Grad Hrvatska Kostajnica je II. skupina potpomognutih područja (indeks razvijenosti), te je neprihvatljivo da nacrtom bude opterećen među najskupljima na uslužnom području. Nacrtom se za Hrvatsku Kostajnicu predviđa najviši varijabilni dio od 1,78 €/m³ (vodoopskrba + odvodnja) uz fiksni dio 6,28 €/mj, pri čemu je fiksni dio prema postojećem obračunu iznosio 2,09 €/mj. Time fiksni dio raste s 2,09 € na 6,28 €, odnosno novi fiksni dio je oko 300% dosadašnjeg (povećanje je oko </w:t>
            </w:r>
            <w:r w:rsidRPr="00A945CC">
              <w:rPr>
                <w:sz w:val="22"/>
                <w:szCs w:val="22"/>
              </w:rPr>
              <w:lastRenderedPageBreak/>
              <w:t>200%), što nerazmjerno pogađa kućanstva s malom potrošnjom.</w:t>
            </w:r>
          </w:p>
          <w:p w14:paraId="7F825C60" w14:textId="77777777" w:rsidR="00AE4A9D" w:rsidRPr="00A945CC" w:rsidRDefault="00AE4A9D" w:rsidP="00AE4A9D">
            <w:pPr>
              <w:rPr>
                <w:sz w:val="22"/>
                <w:szCs w:val="22"/>
              </w:rPr>
            </w:pPr>
            <w:r w:rsidRPr="00A945CC">
              <w:rPr>
                <w:sz w:val="22"/>
                <w:szCs w:val="22"/>
              </w:rPr>
              <w:t xml:space="preserve">Posljedično, minimalni račun za malu potrošnju (npr. 1 m³), s uključenim fiksnim dijelom, varijabilnim dijelom i davanjima, raste približno s 4,60 € na 9,54 € – novi iznos je oko 207% dosadašnjeg (povećanje oko 107%). Takav skok nije razmjeran i nije u skladu s načelom socijalne priuštivosti,  a posebice za potpomognuto područje. </w:t>
            </w:r>
          </w:p>
          <w:p w14:paraId="471EC4BD" w14:textId="77777777" w:rsidR="00AE4A9D" w:rsidRPr="00A945CC" w:rsidRDefault="00AE4A9D" w:rsidP="00AE4A9D">
            <w:pPr>
              <w:rPr>
                <w:sz w:val="22"/>
                <w:szCs w:val="22"/>
              </w:rPr>
            </w:pPr>
            <w:r w:rsidRPr="00A945CC">
              <w:rPr>
                <w:sz w:val="22"/>
                <w:szCs w:val="22"/>
              </w:rPr>
              <w:t>Usporedno, razvijeniji gradovi VIII. skupine (npr. Hvar, Dubrovnik, Zagreb, Zadar, Pula) imaju niže fiksne i/ili niže varijabilne cijene od predloženih za Hrvatsku Kostajnicu, pa je dodatno nerazmjerno da HK kao potpomognuto područje ima viši teret.</w:t>
            </w:r>
          </w:p>
          <w:p w14:paraId="692CB304" w14:textId="026E55DD" w:rsidR="00AE4A9D" w:rsidRPr="00475369" w:rsidRDefault="00AE4A9D" w:rsidP="00AE4A9D">
            <w:pPr>
              <w:rPr>
                <w:sz w:val="22"/>
                <w:szCs w:val="22"/>
              </w:rPr>
            </w:pPr>
            <w:r w:rsidRPr="00A945CC">
              <w:rPr>
                <w:sz w:val="22"/>
                <w:szCs w:val="22"/>
              </w:rPr>
              <w:t>Slijedom navedenog, Grad Hrvatska Kostajnica ne prihvaća ovako predloženu strukturu i razinu povećanja cijene za svoje područje te predlaže da se nacrt Odluke korigira na način da se za područje Grada Hrvatske Kostajnice osigura socijalno priuštiva i razmjerna cijena, u skladu s navedenim zakonskim načelima.</w:t>
            </w:r>
          </w:p>
        </w:tc>
        <w:tc>
          <w:tcPr>
            <w:tcW w:w="2121" w:type="dxa"/>
          </w:tcPr>
          <w:p w14:paraId="381177AA" w14:textId="77777777" w:rsidR="00AE4A9D" w:rsidRPr="00874DCC" w:rsidRDefault="00AE4A9D" w:rsidP="00AE4A9D">
            <w:pPr>
              <w:rPr>
                <w:sz w:val="22"/>
                <w:szCs w:val="22"/>
              </w:rPr>
            </w:pPr>
            <w:r w:rsidRPr="00874DCC">
              <w:rPr>
                <w:sz w:val="22"/>
                <w:szCs w:val="22"/>
              </w:rPr>
              <w:lastRenderedPageBreak/>
              <w:t xml:space="preserve">Ne prihvaća se. </w:t>
            </w:r>
          </w:p>
          <w:p w14:paraId="11289678" w14:textId="77777777" w:rsidR="00AE4A9D" w:rsidRPr="00874DCC" w:rsidRDefault="00AE4A9D" w:rsidP="00AE4A9D">
            <w:pPr>
              <w:rPr>
                <w:sz w:val="22"/>
                <w:szCs w:val="22"/>
              </w:rPr>
            </w:pPr>
          </w:p>
          <w:p w14:paraId="5D2127AC" w14:textId="77777777" w:rsidR="00AE4A9D" w:rsidRDefault="00AE4A9D" w:rsidP="00AE4A9D">
            <w:pPr>
              <w:rPr>
                <w:sz w:val="22"/>
                <w:szCs w:val="22"/>
              </w:rPr>
            </w:pPr>
            <w:r w:rsidRPr="00874DCC">
              <w:rPr>
                <w:sz w:val="22"/>
                <w:szCs w:val="22"/>
              </w:rPr>
              <w:t xml:space="preserve">Nova cijena predložena je u skladu sa Zakonom o vodnim uslugama (NN 66/2019), Uredbom o metodologiji za određivanje cijene vodnih usluga (NN 70/2023) te Smjernicama za primjenu metodologije za određivanje cijena vodnih usluga koje je donijelo Vijeće za vodne usluge 29. prosinca 2023. godine te njihovim preinakama od 10. svibnja 2024. godine. Novu Odluku o cijeni vodnih usluga obvezni smo donijeti, sukladno citiranom Zakonu i Smjernicama, u skladu sa </w:t>
            </w:r>
            <w:r w:rsidRPr="00874DCC">
              <w:rPr>
                <w:sz w:val="22"/>
                <w:szCs w:val="22"/>
              </w:rPr>
              <w:lastRenderedPageBreak/>
              <w:t>troškovima koji su pratili stanje na tržištu, s obzirom na povećanje cijene energenata i inflaciju, vodeći računa o ekonomičnosti poslovanja, budući je dosadašnja cijena bez izmjene od 2015. godine.</w:t>
            </w:r>
          </w:p>
          <w:p w14:paraId="096E3595" w14:textId="369C1215" w:rsidR="00D834E3" w:rsidRDefault="00D834E3" w:rsidP="00D834E3">
            <w:r>
              <w:t>zbog čega je isporučitelj vodnih u</w:t>
            </w:r>
            <w:r w:rsidR="009A3E78">
              <w:t>sluga u</w:t>
            </w:r>
            <w:r>
              <w:t xml:space="preserve"> Hrvatskoj Kostajnici do pripajanja</w:t>
            </w:r>
            <w:r w:rsidR="009A3E78">
              <w:t xml:space="preserve"> Vodama Banovine d.o.o.</w:t>
            </w:r>
            <w:r>
              <w:t xml:space="preserve"> akumulirao veliki gubitak u poslovanju.</w:t>
            </w:r>
          </w:p>
          <w:p w14:paraId="53184FA5" w14:textId="640A460E" w:rsidR="00D834E3" w:rsidRPr="00874DCC" w:rsidRDefault="00D834E3" w:rsidP="00D834E3">
            <w:pPr>
              <w:rPr>
                <w:sz w:val="22"/>
                <w:szCs w:val="22"/>
              </w:rPr>
            </w:pPr>
            <w:r>
              <w:t>Drugi isporučitelji su korigirali cijene vodnih usluga ( zadnje cijene su iz 2022.-2024), te su pratili porast troškova, tako da postotak rasta cijena nije kao za Hrvatsku Kostajnicu</w:t>
            </w:r>
          </w:p>
          <w:p w14:paraId="2314D478" w14:textId="11F595D8" w:rsidR="00874DCC" w:rsidRPr="00874DCC" w:rsidRDefault="00874DCC" w:rsidP="00D834E3">
            <w:pPr>
              <w:pStyle w:val="Bezproreda"/>
              <w:rPr>
                <w:rFonts w:eastAsiaTheme="majorEastAsia"/>
              </w:rPr>
            </w:pPr>
            <w:r w:rsidRPr="00D834E3">
              <w:t>Što se tiče navoda o potpomognutom području sve jed</w:t>
            </w:r>
            <w:r w:rsidR="00D834E3">
              <w:t>i</w:t>
            </w:r>
            <w:r w:rsidRPr="00D834E3">
              <w:t>nice lokalne samo</w:t>
            </w:r>
            <w:r w:rsidR="00D834E3">
              <w:t>u</w:t>
            </w:r>
            <w:r w:rsidRPr="00D834E3">
              <w:t>prave koji su osnivači Voda Banovine d.o.o. osim Grada Petrinje, nalaze se u I i II skupini sukladno Odluci o razvrstavanju jedinica lokalne i područne (regionalne)</w:t>
            </w:r>
            <w:r w:rsidRPr="00874DCC">
              <w:rPr>
                <w:rFonts w:eastAsia="Times New Roman"/>
                <w:kern w:val="36"/>
                <w:lang w:eastAsia="hr-HR"/>
                <w14:ligatures w14:val="none"/>
              </w:rPr>
              <w:t xml:space="preserve"> </w:t>
            </w:r>
            <w:r w:rsidRPr="00874DCC">
              <w:rPr>
                <w:rFonts w:eastAsia="Times New Roman"/>
                <w:kern w:val="36"/>
                <w:lang w:eastAsia="hr-HR"/>
                <w14:ligatures w14:val="none"/>
              </w:rPr>
              <w:lastRenderedPageBreak/>
              <w:t>samouprave prema stupnju razvijenosti</w:t>
            </w:r>
          </w:p>
          <w:p w14:paraId="40F07AA5" w14:textId="77777777" w:rsidR="00874DCC" w:rsidRDefault="00874DCC" w:rsidP="00AE4A9D">
            <w:pPr>
              <w:rPr>
                <w:rFonts w:eastAsia="Times New Roman" w:cs="Times New Roman"/>
                <w:kern w:val="36"/>
                <w:sz w:val="22"/>
                <w:szCs w:val="22"/>
                <w:lang w:eastAsia="hr-HR"/>
                <w14:ligatures w14:val="none"/>
              </w:rPr>
            </w:pPr>
            <w:r w:rsidRPr="00874DCC">
              <w:rPr>
                <w:rFonts w:eastAsia="Times New Roman" w:cs="Times New Roman"/>
                <w:kern w:val="36"/>
                <w:sz w:val="22"/>
                <w:szCs w:val="22"/>
                <w:lang w:eastAsia="hr-HR"/>
                <w14:ligatures w14:val="none"/>
              </w:rPr>
              <w:t>NN 3/2024 (5.1.2024.),</w:t>
            </w:r>
          </w:p>
          <w:p w14:paraId="040AD781" w14:textId="77777777" w:rsidR="00874DCC" w:rsidRPr="00D834E3" w:rsidRDefault="00874DCC" w:rsidP="00AE4A9D">
            <w:pPr>
              <w:rPr>
                <w:rFonts w:eastAsia="Times New Roman" w:cs="Times New Roman"/>
                <w:kern w:val="36"/>
                <w:lang w:eastAsia="hr-HR"/>
                <w14:ligatures w14:val="none"/>
              </w:rPr>
            </w:pPr>
            <w:r w:rsidRPr="00D834E3">
              <w:rPr>
                <w:rFonts w:eastAsia="Times New Roman" w:cs="Times New Roman"/>
                <w:kern w:val="36"/>
                <w:lang w:eastAsia="hr-HR"/>
                <w14:ligatures w14:val="none"/>
              </w:rPr>
              <w:t>a fiksni dio cijene vodnih usluga je isti.</w:t>
            </w:r>
          </w:p>
          <w:p w14:paraId="64898188" w14:textId="2AA29340" w:rsidR="00874DCC" w:rsidRPr="00874DCC" w:rsidRDefault="00874DCC" w:rsidP="00AE4A9D">
            <w:pPr>
              <w:rPr>
                <w:sz w:val="22"/>
                <w:szCs w:val="22"/>
              </w:rPr>
            </w:pPr>
            <w:r w:rsidRPr="00D834E3">
              <w:rPr>
                <w:rFonts w:eastAsia="Times New Roman" w:cs="Times New Roman"/>
                <w:kern w:val="36"/>
                <w:lang w:eastAsia="hr-HR"/>
                <w14:ligatures w14:val="none"/>
              </w:rPr>
              <w:t>Za socijalno ugrožene građane utvrđena je niža cijena vodnih usluga</w:t>
            </w:r>
            <w:r w:rsidR="00D834E3">
              <w:rPr>
                <w:rFonts w:eastAsia="Times New Roman" w:cs="Times New Roman"/>
                <w:kern w:val="36"/>
                <w:lang w:eastAsia="hr-HR"/>
                <w14:ligatures w14:val="none"/>
              </w:rPr>
              <w:t>.</w:t>
            </w:r>
            <w:r>
              <w:rPr>
                <w:rFonts w:eastAsia="Times New Roman" w:cs="Times New Roman"/>
                <w:kern w:val="36"/>
                <w:sz w:val="22"/>
                <w:szCs w:val="22"/>
                <w:lang w:eastAsia="hr-HR"/>
                <w14:ligatures w14:val="none"/>
              </w:rPr>
              <w:t xml:space="preserve"> </w:t>
            </w:r>
          </w:p>
        </w:tc>
      </w:tr>
      <w:tr w:rsidR="00AE4A9D" w14:paraId="38B9B842" w14:textId="77777777" w:rsidTr="009C0092">
        <w:tblPrEx>
          <w:tblLook w:val="0000" w:firstRow="0" w:lastRow="0" w:firstColumn="0" w:lastColumn="0" w:noHBand="0" w:noVBand="0"/>
        </w:tblPrEx>
        <w:trPr>
          <w:trHeight w:val="390"/>
        </w:trPr>
        <w:tc>
          <w:tcPr>
            <w:tcW w:w="704" w:type="dxa"/>
          </w:tcPr>
          <w:p w14:paraId="33E12A48" w14:textId="5C47B41A" w:rsidR="00AE4A9D" w:rsidRDefault="00AE4A9D" w:rsidP="00AE4A9D">
            <w:pPr>
              <w:pStyle w:val="Odlomakpopisa"/>
              <w:numPr>
                <w:ilvl w:val="0"/>
                <w:numId w:val="1"/>
              </w:numPr>
              <w:jc w:val="center"/>
            </w:pPr>
          </w:p>
        </w:tc>
        <w:tc>
          <w:tcPr>
            <w:tcW w:w="1559" w:type="dxa"/>
          </w:tcPr>
          <w:p w14:paraId="66795495" w14:textId="77777777" w:rsidR="00AE4A9D" w:rsidRDefault="00AE4A9D" w:rsidP="00AE4A9D">
            <w:r>
              <w:t>Slavica Dragičević</w:t>
            </w:r>
          </w:p>
          <w:p w14:paraId="0725B76E" w14:textId="77777777" w:rsidR="00AE4A9D" w:rsidRDefault="00AE4A9D" w:rsidP="00AE4A9D">
            <w:r>
              <w:t xml:space="preserve">Osobno kao korisnik </w:t>
            </w:r>
          </w:p>
          <w:p w14:paraId="601FD390" w14:textId="6C7C505A" w:rsidR="00AE4A9D" w:rsidRDefault="00AE4A9D" w:rsidP="00AE4A9D">
            <w:r>
              <w:t xml:space="preserve">Grupa susjeda i prijatelja – korisnika vodne usluge </w:t>
            </w:r>
          </w:p>
        </w:tc>
        <w:tc>
          <w:tcPr>
            <w:tcW w:w="993" w:type="dxa"/>
          </w:tcPr>
          <w:p w14:paraId="4004191F" w14:textId="29957F3A" w:rsidR="00AE4A9D" w:rsidRDefault="00AE4A9D" w:rsidP="00AE4A9D"/>
        </w:tc>
        <w:tc>
          <w:tcPr>
            <w:tcW w:w="3685" w:type="dxa"/>
          </w:tcPr>
          <w:p w14:paraId="0320AE14" w14:textId="77777777" w:rsidR="00AE4A9D" w:rsidRDefault="00AE4A9D" w:rsidP="00AE4A9D">
            <w:pPr>
              <w:rPr>
                <w:sz w:val="22"/>
                <w:szCs w:val="22"/>
              </w:rPr>
            </w:pPr>
            <w:r>
              <w:rPr>
                <w:sz w:val="22"/>
                <w:szCs w:val="22"/>
              </w:rPr>
              <w:t xml:space="preserve">Nacrtom Odluke o cijeni vodnih usluga (u nastavku: Nacrt odluke), koja je na e-savjetovanju na službenim mrežnim stranicama isporučitelja usluge, određene su vrste vodnih usluga i visina cijene (tarife) vodnih usluga, način obračuna i plaćanja usluge i iskaz javnih davanja koja se obračunavaju i naplaćuju uz cijenu usluge koje se pružaju na vodoopskrbnom uslužnom području br. 15. na kojem je društvo preuzimatelj Vode Banovine d.o.o. Petrinja obavlja isporuku vode za gradove Petrinja, Glina, Hrvatska Kostajnica te općine Donji Kukuruzari, Dvor, Gvozd, Lekenik, Majur i Topusko u Sisačko-moslavačkoj županiji. Odredbom točke IX. I X. Nacrta odluke određene su tarife vodnih usluga za kućanstava i za korisnike koji nisu kućanstva za razdoblje u kojem je/neće biti na snazi Uredba o otklanjanju poremećaja na domaćem tržištu energije („Narodne novine“, broj: 31/23, 74/23, 107/23, 122/23, 32/24, 104/24, 56/25, 121/25, bez uključenog poreza na dodanu vrijednost, za Grad Hrvatska Kostajnica, općine: Majur, Donji Kukuruzari, Sunja (naselja Donji Hrastovac i Staza). </w:t>
            </w:r>
          </w:p>
          <w:p w14:paraId="165F62F9" w14:textId="77777777" w:rsidR="00AE4A9D" w:rsidRDefault="00AE4A9D" w:rsidP="00AE4A9D">
            <w:pPr>
              <w:rPr>
                <w:sz w:val="22"/>
                <w:szCs w:val="22"/>
              </w:rPr>
            </w:pPr>
            <w:r>
              <w:rPr>
                <w:sz w:val="22"/>
                <w:szCs w:val="22"/>
              </w:rPr>
              <w:t xml:space="preserve">Materijalni zakoni koji reguliraju pitanja obavljanja vodnih usluga su: Zakon o vodnim uslugama („Narodne novine, broj: 66/19 – u nastavku: Zakon o vodnim </w:t>
            </w:r>
            <w:r>
              <w:rPr>
                <w:sz w:val="22"/>
                <w:szCs w:val="22"/>
              </w:rPr>
              <w:lastRenderedPageBreak/>
              <w:t xml:space="preserve">uslugama) i Zakon o financiranju vodnoga gospodarstva (Narodne novine, br. 153/09, 90/11, 56/13, 154/14, 119/15, 120/16, 127/17, 66/19 i 26/24 – u nastavku: Zakon o financiranju vodnoga gospodarstva). </w:t>
            </w:r>
          </w:p>
          <w:p w14:paraId="1903A798" w14:textId="60248AAD" w:rsidR="00AE4A9D" w:rsidRDefault="00AE4A9D" w:rsidP="00AE4A9D">
            <w:pPr>
              <w:rPr>
                <w:sz w:val="22"/>
                <w:szCs w:val="22"/>
              </w:rPr>
            </w:pPr>
            <w:r>
              <w:rPr>
                <w:sz w:val="22"/>
                <w:szCs w:val="22"/>
              </w:rPr>
              <w:t xml:space="preserve">Zakonom o vodnim uslugama uređuju se institucionalni okvir za pružanje vodnih usluga, pravni položaj i održivo poslovanje isporučitelja vodnih usluga, djelovanje Vijeća za vodne usluge te druga pitanja povezana s pružanjem vodnih usluga. Zakonom o financiranju vodnoga gospodarstva utvrđuju izvori sredstava za financiranje vodnoga gospodarstva, a osobito vodne naknade, uključivo obvezu plaćanja, obveznika, osnovicu, način obračuna, određivanje visine, namjene trošenja tih sredstava, ovrhu, zastaru i druga pitanja vezana za ostvarenje i korištenje tih sredstava. </w:t>
            </w:r>
          </w:p>
          <w:p w14:paraId="794C6253" w14:textId="77777777" w:rsidR="00AE4A9D" w:rsidRDefault="00AE4A9D" w:rsidP="00AE4A9D">
            <w:pPr>
              <w:rPr>
                <w:sz w:val="22"/>
                <w:szCs w:val="22"/>
              </w:rPr>
            </w:pPr>
            <w:r>
              <w:rPr>
                <w:sz w:val="22"/>
                <w:szCs w:val="22"/>
              </w:rPr>
              <w:t xml:space="preserve">Odredbom članka 5. Zakona o vodnim uslugama propisano je da se vodne usluge pružaju pod nediskriminacijskim i socijalno priuštivim uvjetima, da se djelatnosti vodnih usluga obavljaju trajno, učinkovito, ekonomično i svrhovito, da se cijena, uz poštivanje načela povrata troškova, mora određivati po načelima pravičnosti, zaštite od monopola i socijalne priuštivosti cijene vode. </w:t>
            </w:r>
          </w:p>
          <w:p w14:paraId="1732F0A9" w14:textId="77777777" w:rsidR="00AE4A9D" w:rsidRDefault="00AE4A9D" w:rsidP="00AE4A9D">
            <w:pPr>
              <w:rPr>
                <w:sz w:val="22"/>
                <w:szCs w:val="22"/>
              </w:rPr>
            </w:pPr>
            <w:r>
              <w:rPr>
                <w:sz w:val="22"/>
                <w:szCs w:val="22"/>
              </w:rPr>
              <w:t xml:space="preserve">Odredbom članka 3. Zakona o financiranju vodnoga gospodarstva propisano je da se sredstava naknade za korištenje voda i naknade za zaštitu voda nepovratno dodjeljuju isporučiteljima vodnih usluga radi sufinanciranja ili financiranja gradnje komunalnih vodnih građevina, te da korisnici vodnih usluga </w:t>
            </w:r>
            <w:r w:rsidRPr="00887831">
              <w:rPr>
                <w:b/>
                <w:bCs/>
                <w:sz w:val="22"/>
                <w:szCs w:val="22"/>
                <w:u w:val="single"/>
              </w:rPr>
              <w:t>ne mogu</w:t>
            </w:r>
            <w:r>
              <w:rPr>
                <w:sz w:val="22"/>
                <w:szCs w:val="22"/>
              </w:rPr>
              <w:t xml:space="preserve"> biti dodatno opterećeni troškovima gradnje tih građevina u opsegu u kojem su isti financirani sredstvima naknade za korištenje voda i naknade za zaštitu voda. </w:t>
            </w:r>
          </w:p>
          <w:p w14:paraId="12467FFD" w14:textId="77777777" w:rsidR="00AE4A9D" w:rsidRDefault="00AE4A9D" w:rsidP="00AE4A9D">
            <w:pPr>
              <w:rPr>
                <w:sz w:val="22"/>
                <w:szCs w:val="22"/>
              </w:rPr>
            </w:pPr>
            <w:r>
              <w:rPr>
                <w:sz w:val="22"/>
                <w:szCs w:val="22"/>
              </w:rPr>
              <w:lastRenderedPageBreak/>
              <w:t xml:space="preserve">Držim da je nacrt Odluke neprihvatljiv iz više razloga od kojih su najbitniji sljedeći: </w:t>
            </w:r>
          </w:p>
          <w:p w14:paraId="535C3C78" w14:textId="77777777" w:rsidR="00AE4A9D" w:rsidRDefault="00AE4A9D" w:rsidP="00AE4A9D">
            <w:pPr>
              <w:rPr>
                <w:sz w:val="22"/>
                <w:szCs w:val="22"/>
              </w:rPr>
            </w:pPr>
            <w:r>
              <w:rPr>
                <w:sz w:val="22"/>
                <w:szCs w:val="22"/>
              </w:rPr>
              <w:t xml:space="preserve">- Ustav Republike Hrvatske (Narodne novine, broj 56/90, 135/97, 8/98, 113/00, 124/00, 28/01, 41/01, 55/01, 76/10, 85/10, 5/14), kao temeljni pravni akt, u članku 1. među inim, propisuje da je Republika Hrvatska zajednica slobodnih i </w:t>
            </w:r>
            <w:r w:rsidRPr="006A292D">
              <w:rPr>
                <w:b/>
                <w:bCs/>
                <w:sz w:val="22"/>
                <w:szCs w:val="22"/>
              </w:rPr>
              <w:t xml:space="preserve">ravnopravnih </w:t>
            </w:r>
            <w:r>
              <w:rPr>
                <w:sz w:val="22"/>
                <w:szCs w:val="22"/>
              </w:rPr>
              <w:t xml:space="preserve">državljana. </w:t>
            </w:r>
          </w:p>
          <w:p w14:paraId="13FA2251" w14:textId="77777777" w:rsidR="00AE4A9D" w:rsidRDefault="00AE4A9D" w:rsidP="00AE4A9D">
            <w:pPr>
              <w:rPr>
                <w:sz w:val="22"/>
                <w:szCs w:val="22"/>
              </w:rPr>
            </w:pPr>
            <w:r>
              <w:rPr>
                <w:sz w:val="22"/>
                <w:szCs w:val="22"/>
              </w:rPr>
              <w:t>Je su li građani Grada Hrvatska Kostajnica, u smislu ovoga Nacrta odluke, ravnopravni s građanima iz drugih jedinica lokalne samouprave?</w:t>
            </w:r>
          </w:p>
          <w:p w14:paraId="57D29FB9" w14:textId="77777777" w:rsidR="00AE4A9D" w:rsidRDefault="00AE4A9D" w:rsidP="00AE4A9D">
            <w:pPr>
              <w:rPr>
                <w:sz w:val="22"/>
                <w:szCs w:val="22"/>
              </w:rPr>
            </w:pPr>
            <w:r>
              <w:rPr>
                <w:sz w:val="22"/>
                <w:szCs w:val="22"/>
              </w:rPr>
              <w:t xml:space="preserve">- Područje Grada Hrvatska Kostajnica, temeljem Odluka o razvrstavanju jedinica lokalne (regionalne) samouprave koje se prema vrijednosti indeksa nalaze u trećoj četvrtini ispodprosječno rangiranih jedinica lokalne samouprave u Republici Hrvatskoj. </w:t>
            </w:r>
          </w:p>
          <w:p w14:paraId="2CB7B9D4" w14:textId="77777777" w:rsidR="00AE4A9D" w:rsidRDefault="00AE4A9D" w:rsidP="00AE4A9D">
            <w:pPr>
              <w:rPr>
                <w:sz w:val="22"/>
                <w:szCs w:val="22"/>
              </w:rPr>
            </w:pPr>
            <w:r>
              <w:rPr>
                <w:sz w:val="22"/>
                <w:szCs w:val="22"/>
              </w:rPr>
              <w:t>Neprihvatljivo je da je Nacrtom odluke predviđeno najveće opterećenje (čitaj najviša cijena) za područje Grada Hrvatska Kostajnica. To je doista nekorektno i ne znam čime je to izazvano, zašto smo tako „povlašteni“?</w:t>
            </w:r>
          </w:p>
          <w:p w14:paraId="5DD5A1F1" w14:textId="77777777" w:rsidR="00AE4A9D" w:rsidRDefault="00AE4A9D" w:rsidP="00AE4A9D">
            <w:pPr>
              <w:rPr>
                <w:sz w:val="22"/>
                <w:szCs w:val="22"/>
              </w:rPr>
            </w:pPr>
            <w:r>
              <w:rPr>
                <w:sz w:val="22"/>
                <w:szCs w:val="22"/>
              </w:rPr>
              <w:t xml:space="preserve">- Poskupljenje u odnosu na postojeće kraće od vrtoglavih 200 % do 300 % što pogađa svako kućanstvo na našem području. Ne vidim opravdanja niti utemeljenja za takvo povećanje cijena. Takav skok povećanja cijene nije razmjeran niti u skladu s načelom socijalne priuštivosti. </w:t>
            </w:r>
          </w:p>
          <w:p w14:paraId="3AEEA935" w14:textId="77777777" w:rsidR="00AE4A9D" w:rsidRDefault="00AE4A9D" w:rsidP="00AE4A9D">
            <w:pPr>
              <w:rPr>
                <w:sz w:val="22"/>
                <w:szCs w:val="22"/>
              </w:rPr>
            </w:pPr>
            <w:r>
              <w:rPr>
                <w:sz w:val="22"/>
                <w:szCs w:val="22"/>
              </w:rPr>
              <w:t xml:space="preserve">- Za usporedbu: neki razvijeni, veliki gradovi u Republici Hrvatskoj (Dubrovnik, Pula, Zagreb, Zadar) imaju niže fiksne i/ili niže varijabilne cijene od cijena predviđenih ovim Nacrtom odluke. </w:t>
            </w:r>
          </w:p>
          <w:p w14:paraId="058D0C0B" w14:textId="77777777" w:rsidR="00AE4A9D" w:rsidRDefault="00AE4A9D" w:rsidP="00AE4A9D">
            <w:pPr>
              <w:rPr>
                <w:sz w:val="22"/>
                <w:szCs w:val="22"/>
              </w:rPr>
            </w:pPr>
            <w:r>
              <w:rPr>
                <w:sz w:val="22"/>
                <w:szCs w:val="22"/>
              </w:rPr>
              <w:t xml:space="preserve">Ne vidim opravdanje niti utemeljenost za ovakve odredbe Nacrta odluke, za ovakav nerazmjeran skok u visini cijena. </w:t>
            </w:r>
          </w:p>
          <w:p w14:paraId="7844A3FC" w14:textId="6E8C49C4" w:rsidR="00AE4A9D" w:rsidRPr="00475369" w:rsidRDefault="00AE4A9D" w:rsidP="00AE4A9D">
            <w:pPr>
              <w:rPr>
                <w:sz w:val="22"/>
                <w:szCs w:val="22"/>
              </w:rPr>
            </w:pPr>
            <w:r>
              <w:rPr>
                <w:sz w:val="22"/>
                <w:szCs w:val="22"/>
              </w:rPr>
              <w:t xml:space="preserve">Slijednom navedenog smatram da je predložena struktura  i razina povećanja cijene za područje Grada </w:t>
            </w:r>
            <w:r>
              <w:rPr>
                <w:sz w:val="22"/>
                <w:szCs w:val="22"/>
              </w:rPr>
              <w:lastRenderedPageBreak/>
              <w:t xml:space="preserve">Hrvatska Kostajnica, kako je predviđena ovim Nacrtom odluke, neprihvatljiva, te apeliram, predlažem da Isporučitelja vodne usluge još jednom preispita svoju odluku, istu izmjeni na način da bude sukladna zakonima koji reguliraju tu materija i da novim prijedlogom osiguraju socijalno priuštivu i razmjernu cijenu vodnih usluga na području Grada Hrvatska Kostajnica. </w:t>
            </w:r>
          </w:p>
        </w:tc>
        <w:tc>
          <w:tcPr>
            <w:tcW w:w="2121" w:type="dxa"/>
          </w:tcPr>
          <w:p w14:paraId="6E6771CD" w14:textId="77777777" w:rsidR="00AE4A9D" w:rsidRDefault="00AE4A9D" w:rsidP="00AE4A9D">
            <w:r>
              <w:lastRenderedPageBreak/>
              <w:t xml:space="preserve">Ne prihvaća se. </w:t>
            </w:r>
          </w:p>
          <w:p w14:paraId="130C58D7" w14:textId="77777777" w:rsidR="00AE4A9D" w:rsidRDefault="00AE4A9D" w:rsidP="00AE4A9D"/>
          <w:p w14:paraId="1185BF62" w14:textId="44F4D210" w:rsidR="00AE4A9D" w:rsidRDefault="00AE4A9D" w:rsidP="00AE4A9D">
            <w:r>
              <w:t xml:space="preserve">Nova cijena predložena je u skladu sa Zakonom o vodnim uslugama (NN 66/2019), Uredbom o metodologiji za određivanje cijene vodnih usluga (NN 70/2023) te Smjernicama za primjenu metodologije za određivanje cijena vodnih usluga koje je donijelo Vijeće za vodne usluge 29. prosinca 2023. godine te njihovim preinakama od 10. svibnja 2024. godine. Novu Odluku o cijeni vodnih usluga obvezni smo donijeti, sukladno citiranom Zakonu i Smjernicama, u skladu sa troškovima koji su </w:t>
            </w:r>
            <w:r>
              <w:lastRenderedPageBreak/>
              <w:t>pratili stanje na tržištu, s obzirom na povećanje cijene energenata i inflaciju, vodeći računa o ekonomičnosti poslovanja, budući je dosadašnja cijena bez izmjene od 2015. godine</w:t>
            </w:r>
            <w:r w:rsidR="00D834E3">
              <w:t>, zbog čega je isporučitelj vodnih u Hrvatskoj Kostajnici usluga do pripajanja akumulirao veliki gubitak u poslovanju.</w:t>
            </w:r>
          </w:p>
          <w:p w14:paraId="44919A3C" w14:textId="048C2A67" w:rsidR="00D834E3" w:rsidRDefault="00D834E3" w:rsidP="00AE4A9D">
            <w:r>
              <w:t>Drugi isporučitelji su korigirali cijene vodnih usluga ( zadnje cijene su iz 2022.-2024), te su pratili porast troškova, tako da postotak rasta cijena nije kao za Hrvatsku Kostajnicu.</w:t>
            </w:r>
          </w:p>
          <w:p w14:paraId="7C53DFB2" w14:textId="0C3D6AF1" w:rsidR="00AE4A9D" w:rsidRDefault="00AE4A9D" w:rsidP="00AE4A9D"/>
        </w:tc>
      </w:tr>
    </w:tbl>
    <w:p w14:paraId="49BF797A" w14:textId="77777777" w:rsidR="00A945CC" w:rsidRDefault="00A945CC" w:rsidP="00044DA5">
      <w:pPr>
        <w:jc w:val="both"/>
      </w:pPr>
    </w:p>
    <w:p w14:paraId="0B40975A" w14:textId="39C3AA8A" w:rsidR="005B080B" w:rsidRDefault="00044DA5" w:rsidP="00044DA5">
      <w:pPr>
        <w:jc w:val="both"/>
      </w:pPr>
      <w:r>
        <w:t>Napomena: Do 1</w:t>
      </w:r>
      <w:r w:rsidR="00A945CC">
        <w:t>0</w:t>
      </w:r>
      <w:r>
        <w:t xml:space="preserve">. </w:t>
      </w:r>
      <w:r w:rsidR="00A945CC">
        <w:t>travnja</w:t>
      </w:r>
      <w:r>
        <w:t xml:space="preserve"> 202</w:t>
      </w:r>
      <w:r w:rsidR="00A945CC">
        <w:t>6</w:t>
      </w:r>
      <w:r>
        <w:t>.godine na mail adresu Vode Banovine d.o.o., pristigl</w:t>
      </w:r>
      <w:r w:rsidR="00A945CC">
        <w:t>e su dvije</w:t>
      </w:r>
      <w:r>
        <w:t xml:space="preserve"> primjedb</w:t>
      </w:r>
      <w:r w:rsidR="00A945CC">
        <w:t>e</w:t>
      </w:r>
      <w:r>
        <w:t xml:space="preserve">. Na svaku primjedbu odgovoreno je u ovom Izvješću. </w:t>
      </w:r>
    </w:p>
    <w:p w14:paraId="3AD3DB33" w14:textId="5549E2C6" w:rsidR="00044DA5" w:rsidRDefault="00044DA5" w:rsidP="00044DA5">
      <w:pPr>
        <w:jc w:val="both"/>
      </w:pPr>
      <w:r>
        <w:t xml:space="preserve">Ovo izvješće o provedenom savjetovanju objavljeno je na internetskoj stranici </w:t>
      </w:r>
      <w:hyperlink r:id="rId5" w:history="1">
        <w:r w:rsidRPr="00ED4A40">
          <w:rPr>
            <w:rStyle w:val="Hiperveza"/>
          </w:rPr>
          <w:t>www.vode-banovine.hr</w:t>
        </w:r>
      </w:hyperlink>
    </w:p>
    <w:p w14:paraId="2CF0FB85" w14:textId="77777777" w:rsidR="00044DA5" w:rsidRDefault="00044DA5"/>
    <w:p w14:paraId="325CAD16" w14:textId="6D111AFE" w:rsidR="00044DA5" w:rsidRDefault="00044DA5">
      <w:r>
        <w:t>Petrinja,</w:t>
      </w:r>
      <w:r w:rsidR="002A4589">
        <w:t>20.04</w:t>
      </w:r>
      <w:r>
        <w:t>.202</w:t>
      </w:r>
      <w:r w:rsidR="00A945CC">
        <w:t>6</w:t>
      </w:r>
      <w:r>
        <w:t xml:space="preserve">. godine </w:t>
      </w:r>
    </w:p>
    <w:sectPr w:rsidR="00044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6306"/>
    <w:multiLevelType w:val="hybridMultilevel"/>
    <w:tmpl w:val="9B268C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9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88"/>
    <w:rsid w:val="00044DA5"/>
    <w:rsid w:val="00071B5E"/>
    <w:rsid w:val="001227FF"/>
    <w:rsid w:val="00222A0E"/>
    <w:rsid w:val="002A4589"/>
    <w:rsid w:val="002A4988"/>
    <w:rsid w:val="00323AB5"/>
    <w:rsid w:val="003435A4"/>
    <w:rsid w:val="00385E55"/>
    <w:rsid w:val="00421940"/>
    <w:rsid w:val="00475369"/>
    <w:rsid w:val="004B06AF"/>
    <w:rsid w:val="004F03C0"/>
    <w:rsid w:val="005733BA"/>
    <w:rsid w:val="005B080B"/>
    <w:rsid w:val="00626396"/>
    <w:rsid w:val="006661C8"/>
    <w:rsid w:val="006A292D"/>
    <w:rsid w:val="006A7B65"/>
    <w:rsid w:val="00710101"/>
    <w:rsid w:val="00842F1F"/>
    <w:rsid w:val="00874DCC"/>
    <w:rsid w:val="008816CD"/>
    <w:rsid w:val="00887831"/>
    <w:rsid w:val="009078F1"/>
    <w:rsid w:val="009A3E78"/>
    <w:rsid w:val="009C0092"/>
    <w:rsid w:val="00A945CC"/>
    <w:rsid w:val="00AE4A9D"/>
    <w:rsid w:val="00B0286F"/>
    <w:rsid w:val="00B34926"/>
    <w:rsid w:val="00B9455B"/>
    <w:rsid w:val="00C0061A"/>
    <w:rsid w:val="00C50E82"/>
    <w:rsid w:val="00CD1C57"/>
    <w:rsid w:val="00D751CA"/>
    <w:rsid w:val="00D834E3"/>
    <w:rsid w:val="00EB24EE"/>
    <w:rsid w:val="00F62AFF"/>
    <w:rsid w:val="00FA7C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59"/>
  <w15:chartTrackingRefBased/>
  <w15:docId w15:val="{50F93529-89AC-4705-ABB0-F2DBA218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4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4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498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498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498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498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498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498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498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498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498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498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498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498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498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498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498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4988"/>
    <w:rPr>
      <w:rFonts w:eastAsiaTheme="majorEastAsia" w:cstheme="majorBidi"/>
      <w:color w:val="272727" w:themeColor="text1" w:themeTint="D8"/>
    </w:rPr>
  </w:style>
  <w:style w:type="paragraph" w:styleId="Naslov">
    <w:name w:val="Title"/>
    <w:basedOn w:val="Normal"/>
    <w:next w:val="Normal"/>
    <w:link w:val="NaslovChar"/>
    <w:uiPriority w:val="10"/>
    <w:qFormat/>
    <w:rsid w:val="002A4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498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498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49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4988"/>
    <w:pPr>
      <w:spacing w:before="160"/>
      <w:jc w:val="center"/>
    </w:pPr>
    <w:rPr>
      <w:i/>
      <w:iCs/>
      <w:color w:val="404040" w:themeColor="text1" w:themeTint="BF"/>
    </w:rPr>
  </w:style>
  <w:style w:type="character" w:customStyle="1" w:styleId="CitatChar">
    <w:name w:val="Citat Char"/>
    <w:basedOn w:val="Zadanifontodlomka"/>
    <w:link w:val="Citat"/>
    <w:uiPriority w:val="29"/>
    <w:rsid w:val="002A4988"/>
    <w:rPr>
      <w:i/>
      <w:iCs/>
      <w:color w:val="404040" w:themeColor="text1" w:themeTint="BF"/>
    </w:rPr>
  </w:style>
  <w:style w:type="paragraph" w:styleId="Odlomakpopisa">
    <w:name w:val="List Paragraph"/>
    <w:basedOn w:val="Normal"/>
    <w:uiPriority w:val="34"/>
    <w:qFormat/>
    <w:rsid w:val="002A4988"/>
    <w:pPr>
      <w:ind w:left="720"/>
      <w:contextualSpacing/>
    </w:pPr>
  </w:style>
  <w:style w:type="character" w:styleId="Jakoisticanje">
    <w:name w:val="Intense Emphasis"/>
    <w:basedOn w:val="Zadanifontodlomka"/>
    <w:uiPriority w:val="21"/>
    <w:qFormat/>
    <w:rsid w:val="002A4988"/>
    <w:rPr>
      <w:i/>
      <w:iCs/>
      <w:color w:val="0F4761" w:themeColor="accent1" w:themeShade="BF"/>
    </w:rPr>
  </w:style>
  <w:style w:type="paragraph" w:styleId="Naglaencitat">
    <w:name w:val="Intense Quote"/>
    <w:basedOn w:val="Normal"/>
    <w:next w:val="Normal"/>
    <w:link w:val="NaglaencitatChar"/>
    <w:uiPriority w:val="30"/>
    <w:qFormat/>
    <w:rsid w:val="002A4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4988"/>
    <w:rPr>
      <w:i/>
      <w:iCs/>
      <w:color w:val="0F4761" w:themeColor="accent1" w:themeShade="BF"/>
    </w:rPr>
  </w:style>
  <w:style w:type="character" w:styleId="Istaknutareferenca">
    <w:name w:val="Intense Reference"/>
    <w:basedOn w:val="Zadanifontodlomka"/>
    <w:uiPriority w:val="32"/>
    <w:qFormat/>
    <w:rsid w:val="002A4988"/>
    <w:rPr>
      <w:b/>
      <w:bCs/>
      <w:smallCaps/>
      <w:color w:val="0F4761" w:themeColor="accent1" w:themeShade="BF"/>
      <w:spacing w:val="5"/>
    </w:rPr>
  </w:style>
  <w:style w:type="table" w:styleId="Reetkatablice">
    <w:name w:val="Table Grid"/>
    <w:basedOn w:val="Obinatablica"/>
    <w:uiPriority w:val="39"/>
    <w:rsid w:val="002A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475369"/>
    <w:pPr>
      <w:spacing w:after="0" w:line="240" w:lineRule="auto"/>
    </w:pPr>
  </w:style>
  <w:style w:type="character" w:styleId="Hiperveza">
    <w:name w:val="Hyperlink"/>
    <w:basedOn w:val="Zadanifontodlomka"/>
    <w:uiPriority w:val="99"/>
    <w:unhideWhenUsed/>
    <w:rsid w:val="00044DA5"/>
    <w:rPr>
      <w:color w:val="467886" w:themeColor="hyperlink"/>
      <w:u w:val="single"/>
    </w:rPr>
  </w:style>
  <w:style w:type="character" w:styleId="Nerijeenospominjanje">
    <w:name w:val="Unresolved Mention"/>
    <w:basedOn w:val="Zadanifontodlomka"/>
    <w:uiPriority w:val="99"/>
    <w:semiHidden/>
    <w:unhideWhenUsed/>
    <w:rsid w:val="00044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ode-banovin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Kovačević</dc:creator>
  <cp:keywords/>
  <dc:description/>
  <cp:lastModifiedBy>Vesna Kardaš</cp:lastModifiedBy>
  <cp:revision>2</cp:revision>
  <dcterms:created xsi:type="dcterms:W3CDTF">2026-04-20T12:44:00Z</dcterms:created>
  <dcterms:modified xsi:type="dcterms:W3CDTF">2026-04-20T12:44:00Z</dcterms:modified>
</cp:coreProperties>
</file>